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suppressLineNumbers w:val="0"/>
        <w:spacing w:beforeAutospacing="0" w:afterAutospacing="0"/>
        <w:ind w:firstLine="600" w:firstLineChars="200"/>
        <w:rPr>
          <w:rFonts w:hint="eastAsia"/>
          <w:sz w:val="30"/>
          <w:lang w:eastAsia="zh-CN"/>
        </w:rPr>
      </w:pPr>
      <w:r>
        <w:rPr>
          <w:rFonts w:hint="eastAsia"/>
          <w:sz w:val="30"/>
          <w:lang w:eastAsia="zh-CN"/>
        </w:rPr>
        <w:t>我院拟对</w:t>
      </w:r>
      <w:r>
        <w:rPr>
          <w:rFonts w:hint="eastAsia"/>
          <w:sz w:val="30"/>
          <w:highlight w:val="none"/>
          <w:lang w:eastAsia="zh-CN"/>
        </w:rPr>
        <w:t>一批</w:t>
      </w:r>
      <w:r>
        <w:rPr>
          <w:rFonts w:hint="eastAsia"/>
          <w:sz w:val="30"/>
          <w:lang w:eastAsia="zh-CN"/>
        </w:rPr>
        <w:t>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srmyyhczj3@126.com，邮件名称：项目编码+项目名称+供应商名称。</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截止时间：2025年9月4日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2025年8月28日</w:t>
      </w:r>
    </w:p>
    <w:p w14:paraId="67F7BADB">
      <w:pPr>
        <w:spacing w:line="320" w:lineRule="exact"/>
        <w:rPr>
          <w:rFonts w:hint="eastAsia" w:ascii="宋体" w:hAnsi="宋体" w:eastAsia="仿宋_GB2312"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6C367A02">
      <w:pPr>
        <w:spacing w:line="320" w:lineRule="exact"/>
        <w:rPr>
          <w:rFonts w:hint="eastAsia" w:ascii="宋体" w:hAnsi="宋体" w:cs="宋体"/>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595"/>
        <w:gridCol w:w="4688"/>
      </w:tblGrid>
      <w:tr w14:paraId="1A79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522" w:type="dxa"/>
            <w:gridSpan w:val="3"/>
            <w:vAlign w:val="center"/>
          </w:tcPr>
          <w:p w14:paraId="459406A1">
            <w:pPr>
              <w:keepNext w:val="0"/>
              <w:keepLines w:val="0"/>
              <w:suppressLineNumbers w:val="0"/>
              <w:spacing w:beforeAutospacing="0" w:afterAutospacing="0" w:line="320" w:lineRule="exact"/>
              <w:ind w:left="0" w:leftChars="0" w:right="0" w:right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以下为二次征集</w:t>
            </w:r>
          </w:p>
        </w:tc>
      </w:tr>
      <w:tr w14:paraId="6BEA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39" w:type="dxa"/>
            <w:vAlign w:val="center"/>
          </w:tcPr>
          <w:p w14:paraId="02AF48AA">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595" w:type="dxa"/>
            <w:vAlign w:val="center"/>
          </w:tcPr>
          <w:p w14:paraId="51390F42">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4688" w:type="dxa"/>
            <w:vAlign w:val="center"/>
          </w:tcPr>
          <w:p w14:paraId="502F1554">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673A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239" w:type="dxa"/>
            <w:shd w:val="clear" w:color="auto" w:fill="auto"/>
            <w:vAlign w:val="center"/>
          </w:tcPr>
          <w:p w14:paraId="30B1748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XG0812-06</w:t>
            </w:r>
          </w:p>
        </w:tc>
        <w:tc>
          <w:tcPr>
            <w:tcW w:w="2595" w:type="dxa"/>
            <w:shd w:val="clear" w:color="auto" w:fill="auto"/>
            <w:vAlign w:val="center"/>
          </w:tcPr>
          <w:p w14:paraId="44BC7631">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腹主动脉覆膜支架系统</w:t>
            </w:r>
          </w:p>
        </w:tc>
        <w:tc>
          <w:tcPr>
            <w:tcW w:w="4688" w:type="dxa"/>
            <w:shd w:val="clear" w:color="auto" w:fill="auto"/>
            <w:vAlign w:val="center"/>
          </w:tcPr>
          <w:p w14:paraId="5B5C178B">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1、用于腹主动脉瘤腔内隔绝术；</w:t>
            </w:r>
          </w:p>
          <w:p w14:paraId="446558AD">
            <w:pPr>
              <w:keepNext w:val="0"/>
              <w:keepLines w:val="0"/>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2、适配鞘管≤18F</w:t>
            </w:r>
          </w:p>
          <w:p w14:paraId="2FCDE2B7">
            <w:pPr>
              <w:keepNext w:val="0"/>
              <w:keepLines w:val="0"/>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3、一体成型</w:t>
            </w:r>
          </w:p>
          <w:p w14:paraId="1E08F981">
            <w:pPr>
              <w:keepNext w:val="0"/>
              <w:keepLines w:val="0"/>
              <w:suppressLineNumbers w:val="0"/>
              <w:spacing w:beforeAutospacing="0" w:afterAutospacing="0"/>
              <w:jc w:val="left"/>
              <w:rPr>
                <w:rFonts w:hint="eastAsia"/>
                <w:highlight w:val="none"/>
                <w:lang w:val="en-US" w:eastAsia="zh-CN"/>
              </w:rPr>
            </w:pPr>
            <w:r>
              <w:rPr>
                <w:rFonts w:hint="eastAsia" w:ascii="宋体" w:hAnsi="宋体" w:eastAsia="宋体" w:cs="宋体"/>
                <w:sz w:val="21"/>
                <w:szCs w:val="21"/>
                <w:highlight w:val="none"/>
                <w:lang w:val="en-US" w:eastAsia="zh-CN"/>
              </w:rPr>
              <w:t>4、腹主支架头端可回收，具有独立的输送系统</w:t>
            </w:r>
          </w:p>
        </w:tc>
      </w:tr>
      <w:tr w14:paraId="0B26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39" w:type="dxa"/>
            <w:shd w:val="clear" w:color="auto" w:fill="auto"/>
            <w:vAlign w:val="center"/>
          </w:tcPr>
          <w:p w14:paraId="0FF8DE8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PW0812-01</w:t>
            </w:r>
          </w:p>
        </w:tc>
        <w:tc>
          <w:tcPr>
            <w:tcW w:w="2595" w:type="dxa"/>
            <w:shd w:val="clear" w:color="auto" w:fill="auto"/>
            <w:vAlign w:val="center"/>
          </w:tcPr>
          <w:p w14:paraId="18FB1030">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软组织修补片</w:t>
            </w:r>
          </w:p>
        </w:tc>
        <w:tc>
          <w:tcPr>
            <w:tcW w:w="4688" w:type="dxa"/>
            <w:shd w:val="clear" w:color="auto" w:fill="auto"/>
            <w:vAlign w:val="center"/>
          </w:tcPr>
          <w:p w14:paraId="3596EA9F">
            <w:pPr>
              <w:keepNext w:val="0"/>
              <w:keepLines w:val="0"/>
              <w:numPr>
                <w:ilvl w:val="0"/>
                <w:numId w:val="1"/>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用于腹腔镜下食管裂孔疝；</w:t>
            </w:r>
          </w:p>
          <w:p w14:paraId="16C46C22">
            <w:pPr>
              <w:keepNext w:val="0"/>
              <w:keepLines w:val="0"/>
              <w:numPr>
                <w:ilvl w:val="0"/>
                <w:numId w:val="1"/>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材质：生物材料；</w:t>
            </w:r>
          </w:p>
        </w:tc>
      </w:tr>
      <w:tr w14:paraId="6C69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239" w:type="dxa"/>
            <w:shd w:val="clear" w:color="auto" w:fill="auto"/>
            <w:vAlign w:val="center"/>
          </w:tcPr>
          <w:p w14:paraId="4553607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PW0812-03</w:t>
            </w:r>
          </w:p>
        </w:tc>
        <w:tc>
          <w:tcPr>
            <w:tcW w:w="2595" w:type="dxa"/>
            <w:shd w:val="clear" w:color="auto" w:fill="auto"/>
            <w:vAlign w:val="center"/>
          </w:tcPr>
          <w:p w14:paraId="6DD18B73">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生物疝修补补片</w:t>
            </w:r>
          </w:p>
        </w:tc>
        <w:tc>
          <w:tcPr>
            <w:tcW w:w="4688" w:type="dxa"/>
            <w:shd w:val="clear" w:color="auto" w:fill="auto"/>
            <w:vAlign w:val="center"/>
          </w:tcPr>
          <w:p w14:paraId="189B359F">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eastAsia="zh-CN"/>
              </w:rPr>
              <w:t>1、用于开放和腹腔镜术式腹膜外修补腹股沟疝和股疝；</w:t>
            </w:r>
          </w:p>
          <w:p w14:paraId="1CE34B98">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hAnsi="宋体" w:eastAsia="宋体" w:cs="宋体"/>
                <w:sz w:val="21"/>
                <w:szCs w:val="21"/>
                <w:highlight w:val="none"/>
                <w:lang w:val="en-US" w:eastAsia="zh-CN"/>
              </w:rPr>
              <w:t>2、材质：生物材料；</w:t>
            </w:r>
          </w:p>
          <w:p w14:paraId="41C536B2">
            <w:pPr>
              <w:keepNext w:val="0"/>
              <w:keepLines w:val="0"/>
              <w:numPr>
                <w:ilvl w:val="0"/>
                <w:numId w:val="0"/>
              </w:numPr>
              <w:suppressLineNumbers w:val="0"/>
              <w:spacing w:beforeAutospacing="0" w:afterAutospacing="0"/>
              <w:ind w:right="0" w:rightChars="0"/>
              <w:rPr>
                <w:rFonts w:hint="eastAsia" w:ascii="宋体" w:eastAsia="宋体"/>
                <w:color w:val="000000"/>
                <w:szCs w:val="21"/>
                <w:highlight w:val="none"/>
                <w:lang w:val="en-US" w:eastAsia="zh-CN"/>
              </w:rPr>
            </w:pPr>
            <w:r>
              <w:rPr>
                <w:rFonts w:hint="eastAsia" w:ascii="宋体" w:eastAsia="宋体"/>
                <w:color w:val="000000"/>
                <w:szCs w:val="21"/>
                <w:highlight w:val="none"/>
                <w:lang w:val="en-US" w:eastAsia="zh-CN"/>
              </w:rPr>
              <w:t>3、吸收时间：4-6个月完全吸收</w:t>
            </w:r>
          </w:p>
        </w:tc>
      </w:tr>
      <w:tr w14:paraId="23FE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239" w:type="dxa"/>
            <w:shd w:val="clear" w:color="auto" w:fill="auto"/>
            <w:vAlign w:val="center"/>
          </w:tcPr>
          <w:p w14:paraId="5AD73C4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PW0812-04</w:t>
            </w:r>
          </w:p>
        </w:tc>
        <w:tc>
          <w:tcPr>
            <w:tcW w:w="2595" w:type="dxa"/>
            <w:shd w:val="clear" w:color="auto" w:fill="auto"/>
            <w:vAlign w:val="center"/>
          </w:tcPr>
          <w:p w14:paraId="3957C6CA">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一次性使用腹壁吻合器</w:t>
            </w:r>
          </w:p>
        </w:tc>
        <w:tc>
          <w:tcPr>
            <w:tcW w:w="4688" w:type="dxa"/>
            <w:shd w:val="clear" w:color="auto" w:fill="auto"/>
            <w:vAlign w:val="center"/>
          </w:tcPr>
          <w:p w14:paraId="4DC0EC57">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1、</w:t>
            </w:r>
            <w:r>
              <w:rPr>
                <w:rFonts w:hint="eastAsia" w:ascii="宋体" w:eastAsia="宋体"/>
                <w:color w:val="000000"/>
                <w:szCs w:val="21"/>
                <w:highlight w:val="none"/>
                <w:lang w:eastAsia="zh-CN"/>
              </w:rPr>
              <w:t>用于腹腔镜手术中缝线抓取，实现腹壁切口或戳卡扣缝合；</w:t>
            </w:r>
          </w:p>
          <w:p w14:paraId="7C7D8EB9">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val="en-US" w:eastAsia="zh-CN"/>
              </w:rPr>
            </w:pPr>
            <w:r>
              <w:rPr>
                <w:rFonts w:hint="eastAsia" w:ascii="宋体" w:eastAsia="宋体"/>
                <w:color w:val="000000"/>
                <w:szCs w:val="21"/>
                <w:highlight w:val="none"/>
                <w:lang w:val="en-US" w:eastAsia="zh-CN"/>
              </w:rPr>
              <w:t>2、</w:t>
            </w:r>
            <w:r>
              <w:rPr>
                <w:rFonts w:hint="default" w:ascii="宋体" w:eastAsia="宋体"/>
                <w:color w:val="000000"/>
                <w:szCs w:val="21"/>
                <w:highlight w:val="none"/>
                <w:lang w:val="en-US" w:eastAsia="zh-CN"/>
              </w:rPr>
              <w:t>由穿刺针管、勾线夹、手柄、引导头</w:t>
            </w:r>
            <w:r>
              <w:rPr>
                <w:rFonts w:hint="eastAsia" w:ascii="宋体" w:eastAsia="宋体"/>
                <w:color w:val="000000"/>
                <w:szCs w:val="21"/>
                <w:highlight w:val="none"/>
                <w:lang w:val="en-US" w:eastAsia="zh-CN"/>
              </w:rPr>
              <w:t>等</w:t>
            </w:r>
            <w:r>
              <w:rPr>
                <w:rFonts w:hint="default" w:ascii="宋体" w:eastAsia="宋体"/>
                <w:color w:val="000000"/>
                <w:szCs w:val="21"/>
                <w:highlight w:val="none"/>
                <w:lang w:val="en-US" w:eastAsia="zh-CN"/>
              </w:rPr>
              <w:t>组成</w:t>
            </w:r>
            <w:r>
              <w:rPr>
                <w:rFonts w:hint="eastAsia" w:ascii="宋体" w:eastAsia="宋体"/>
                <w:color w:val="000000"/>
                <w:szCs w:val="21"/>
                <w:highlight w:val="none"/>
                <w:lang w:val="en-US" w:eastAsia="zh-CN"/>
              </w:rPr>
              <w:t>；</w:t>
            </w:r>
          </w:p>
          <w:p w14:paraId="7F528DA0">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val="en-US" w:eastAsia="zh-CN"/>
              </w:rPr>
            </w:pPr>
            <w:r>
              <w:rPr>
                <w:rFonts w:hint="eastAsia" w:ascii="宋体" w:eastAsia="宋体"/>
                <w:color w:val="000000"/>
                <w:szCs w:val="21"/>
                <w:highlight w:val="none"/>
                <w:lang w:val="en-US" w:eastAsia="zh-CN"/>
              </w:rPr>
              <w:t>3、工作长度≥150</w:t>
            </w:r>
            <w:r>
              <w:rPr>
                <w:rFonts w:hint="default" w:ascii="宋体" w:eastAsia="宋体"/>
                <w:color w:val="000000"/>
                <w:szCs w:val="21"/>
                <w:highlight w:val="none"/>
                <w:lang w:val="en-US" w:eastAsia="zh-CN"/>
              </w:rPr>
              <w:t>mm</w:t>
            </w:r>
            <w:r>
              <w:rPr>
                <w:rFonts w:hint="eastAsia" w:ascii="宋体" w:eastAsia="宋体"/>
                <w:color w:val="000000"/>
                <w:szCs w:val="21"/>
                <w:highlight w:val="none"/>
                <w:lang w:val="en-US" w:eastAsia="zh-CN"/>
              </w:rPr>
              <w:t>；</w:t>
            </w:r>
          </w:p>
          <w:p w14:paraId="502B558B">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eastAsia="宋体"/>
                <w:color w:val="000000"/>
                <w:szCs w:val="21"/>
                <w:highlight w:val="none"/>
                <w:lang w:val="en-US" w:eastAsia="zh-CN"/>
              </w:rPr>
              <w:t>4、穿刺针管</w:t>
            </w:r>
            <w:r>
              <w:rPr>
                <w:rFonts w:hint="default" w:ascii="宋体" w:eastAsia="宋体"/>
                <w:color w:val="000000"/>
                <w:szCs w:val="21"/>
                <w:highlight w:val="none"/>
                <w:lang w:val="en-US" w:eastAsia="zh-CN"/>
              </w:rPr>
              <w:t>采用不锈钢管</w:t>
            </w:r>
            <w:r>
              <w:rPr>
                <w:rFonts w:hint="eastAsia" w:ascii="宋体" w:eastAsia="宋体"/>
                <w:color w:val="000000"/>
                <w:szCs w:val="21"/>
                <w:highlight w:val="none"/>
                <w:lang w:val="en-US" w:eastAsia="zh-CN"/>
              </w:rPr>
              <w:t>材质</w:t>
            </w:r>
            <w:r>
              <w:rPr>
                <w:rFonts w:hint="default" w:ascii="宋体" w:eastAsia="宋体"/>
                <w:color w:val="000000"/>
                <w:szCs w:val="21"/>
                <w:highlight w:val="none"/>
                <w:lang w:val="en-US" w:eastAsia="zh-CN"/>
              </w:rPr>
              <w:t>，勾线夹采用不锈钢丝</w:t>
            </w:r>
            <w:r>
              <w:rPr>
                <w:rFonts w:hint="eastAsia" w:ascii="宋体" w:eastAsia="宋体"/>
                <w:color w:val="000000"/>
                <w:szCs w:val="21"/>
                <w:highlight w:val="none"/>
                <w:lang w:val="en-US" w:eastAsia="zh-CN"/>
              </w:rPr>
              <w:t>材质。</w:t>
            </w:r>
          </w:p>
        </w:tc>
      </w:tr>
      <w:tr w14:paraId="276C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239" w:type="dxa"/>
            <w:shd w:val="clear" w:color="auto" w:fill="auto"/>
            <w:vAlign w:val="center"/>
          </w:tcPr>
          <w:p w14:paraId="1266B94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1</w:t>
            </w:r>
          </w:p>
        </w:tc>
        <w:tc>
          <w:tcPr>
            <w:tcW w:w="2595" w:type="dxa"/>
            <w:shd w:val="clear" w:color="auto" w:fill="auto"/>
            <w:vAlign w:val="center"/>
          </w:tcPr>
          <w:p w14:paraId="16E87A89">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自膨式动脉瘤瘤内栓塞系统</w:t>
            </w:r>
          </w:p>
        </w:tc>
        <w:tc>
          <w:tcPr>
            <w:tcW w:w="4688" w:type="dxa"/>
            <w:shd w:val="clear" w:color="auto" w:fill="auto"/>
            <w:vAlign w:val="center"/>
          </w:tcPr>
          <w:p w14:paraId="0FCA2639">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1、</w:t>
            </w:r>
            <w:r>
              <w:rPr>
                <w:rFonts w:hint="eastAsia" w:ascii="宋体" w:eastAsia="宋体"/>
                <w:color w:val="000000"/>
                <w:szCs w:val="21"/>
                <w:highlight w:val="none"/>
                <w:lang w:eastAsia="zh-CN"/>
              </w:rPr>
              <w:t>用于颅内动脉分叉部宽颈动脉瘤的治疗；</w:t>
            </w:r>
          </w:p>
          <w:p w14:paraId="1C042D40">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2、</w:t>
            </w:r>
            <w:r>
              <w:rPr>
                <w:rFonts w:hint="eastAsia" w:ascii="宋体" w:eastAsia="宋体"/>
                <w:color w:val="000000"/>
                <w:szCs w:val="21"/>
                <w:highlight w:val="none"/>
                <w:lang w:eastAsia="zh-CN"/>
              </w:rPr>
              <w:t>材质：镍钛合金丝、铂丝/镍钛合金复合丝编织而成的自膨式网状结构，铂铱合金不透射线标记；</w:t>
            </w:r>
          </w:p>
          <w:p w14:paraId="75552671">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3、</w:t>
            </w:r>
            <w:r>
              <w:rPr>
                <w:rFonts w:hint="eastAsia" w:ascii="宋体" w:eastAsia="宋体"/>
                <w:color w:val="000000"/>
                <w:szCs w:val="21"/>
                <w:highlight w:val="none"/>
                <w:lang w:eastAsia="zh-CN"/>
              </w:rPr>
              <w:t>直径：3mm</w:t>
            </w:r>
            <w:r>
              <w:rPr>
                <w:rFonts w:hint="eastAsia" w:ascii="宋体" w:hAnsi="宋体" w:eastAsia="宋体" w:cs="宋体"/>
                <w:sz w:val="21"/>
                <w:szCs w:val="21"/>
                <w:highlight w:val="none"/>
                <w:lang w:val="en-US" w:eastAsia="zh-CN"/>
              </w:rPr>
              <w:t>～</w:t>
            </w:r>
            <w:r>
              <w:rPr>
                <w:rFonts w:hint="eastAsia" w:ascii="宋体" w:eastAsia="宋体"/>
                <w:color w:val="000000"/>
                <w:szCs w:val="21"/>
                <w:highlight w:val="none"/>
                <w:lang w:eastAsia="zh-CN"/>
              </w:rPr>
              <w:t>11mm</w:t>
            </w:r>
          </w:p>
          <w:p w14:paraId="4C1FE5C9">
            <w:pPr>
              <w:keepNext w:val="0"/>
              <w:keepLines w:val="0"/>
              <w:numPr>
                <w:ilvl w:val="0"/>
                <w:numId w:val="0"/>
              </w:numPr>
              <w:suppressLineNumbers w:val="0"/>
              <w:spacing w:beforeAutospacing="0" w:afterAutospacing="0"/>
              <w:ind w:right="0" w:rightChars="0"/>
              <w:jc w:val="left"/>
              <w:rPr>
                <w:rFonts w:hint="eastAsia" w:ascii="宋体"/>
                <w:color w:val="000000"/>
                <w:sz w:val="24"/>
                <w:szCs w:val="24"/>
                <w:highlight w:val="none"/>
                <w:lang w:val="en-US" w:eastAsia="zh-CN"/>
              </w:rPr>
            </w:pPr>
            <w:r>
              <w:rPr>
                <w:rFonts w:hint="eastAsia" w:ascii="宋体" w:eastAsia="宋体"/>
                <w:color w:val="000000"/>
                <w:szCs w:val="21"/>
                <w:highlight w:val="none"/>
                <w:lang w:val="en-US" w:eastAsia="zh-CN"/>
              </w:rPr>
              <w:t>4、</w:t>
            </w:r>
            <w:r>
              <w:rPr>
                <w:rFonts w:hint="eastAsia" w:ascii="宋体" w:eastAsia="宋体"/>
                <w:color w:val="000000"/>
                <w:szCs w:val="21"/>
                <w:highlight w:val="none"/>
                <w:lang w:eastAsia="zh-CN"/>
              </w:rPr>
              <w:t>高度：2mm</w:t>
            </w:r>
            <w:r>
              <w:rPr>
                <w:rFonts w:hint="eastAsia" w:ascii="宋体" w:hAnsi="宋体" w:eastAsia="宋体" w:cs="宋体"/>
                <w:sz w:val="21"/>
                <w:szCs w:val="21"/>
                <w:highlight w:val="none"/>
                <w:lang w:val="en-US" w:eastAsia="zh-CN"/>
              </w:rPr>
              <w:t>～</w:t>
            </w:r>
            <w:r>
              <w:rPr>
                <w:rFonts w:hint="eastAsia" w:ascii="宋体" w:eastAsia="宋体"/>
                <w:color w:val="000000"/>
                <w:szCs w:val="21"/>
                <w:highlight w:val="none"/>
                <w:lang w:eastAsia="zh-CN"/>
              </w:rPr>
              <w:t>9mm</w:t>
            </w:r>
          </w:p>
        </w:tc>
      </w:tr>
      <w:tr w14:paraId="251C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239" w:type="dxa"/>
            <w:shd w:val="clear" w:color="auto" w:fill="auto"/>
            <w:vAlign w:val="center"/>
          </w:tcPr>
          <w:p w14:paraId="3D2F49D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2</w:t>
            </w:r>
          </w:p>
        </w:tc>
        <w:tc>
          <w:tcPr>
            <w:tcW w:w="2595" w:type="dxa"/>
            <w:shd w:val="clear" w:color="auto" w:fill="auto"/>
            <w:vAlign w:val="center"/>
          </w:tcPr>
          <w:p w14:paraId="5F39B1CF">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微导管</w:t>
            </w:r>
          </w:p>
        </w:tc>
        <w:tc>
          <w:tcPr>
            <w:tcW w:w="4688" w:type="dxa"/>
            <w:shd w:val="clear" w:color="auto" w:fill="auto"/>
            <w:vAlign w:val="center"/>
          </w:tcPr>
          <w:p w14:paraId="22D555DD">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1、</w:t>
            </w:r>
            <w:r>
              <w:rPr>
                <w:rFonts w:hint="eastAsia" w:ascii="宋体" w:eastAsia="宋体"/>
                <w:color w:val="000000"/>
                <w:szCs w:val="21"/>
                <w:highlight w:val="none"/>
                <w:lang w:eastAsia="zh-CN"/>
              </w:rPr>
              <w:t>自膨式动脉瘤瘤内栓塞系统配套微导管</w:t>
            </w:r>
          </w:p>
          <w:p w14:paraId="67B1D384">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2、</w:t>
            </w:r>
            <w:r>
              <w:rPr>
                <w:rFonts w:hint="eastAsia" w:ascii="宋体" w:eastAsia="宋体"/>
                <w:color w:val="000000"/>
                <w:szCs w:val="21"/>
                <w:highlight w:val="none"/>
                <w:lang w:eastAsia="zh-CN"/>
              </w:rPr>
              <w:t>材质：导管带有亲水涂层</w:t>
            </w:r>
          </w:p>
          <w:p w14:paraId="4F852013">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3、</w:t>
            </w:r>
            <w:r>
              <w:rPr>
                <w:rFonts w:hint="eastAsia" w:ascii="宋体" w:eastAsia="宋体"/>
                <w:color w:val="000000"/>
                <w:szCs w:val="21"/>
                <w:highlight w:val="none"/>
                <w:lang w:eastAsia="zh-CN"/>
              </w:rPr>
              <w:t>直径：21mm</w:t>
            </w:r>
            <w:r>
              <w:rPr>
                <w:rFonts w:hint="eastAsia" w:ascii="宋体" w:hAnsi="宋体" w:eastAsia="宋体" w:cs="宋体"/>
                <w:sz w:val="21"/>
                <w:szCs w:val="21"/>
                <w:highlight w:val="none"/>
                <w:lang w:val="en-US" w:eastAsia="zh-CN"/>
              </w:rPr>
              <w:t>～</w:t>
            </w:r>
            <w:r>
              <w:rPr>
                <w:rFonts w:hint="eastAsia" w:ascii="宋体" w:eastAsia="宋体"/>
                <w:color w:val="000000"/>
                <w:szCs w:val="21"/>
                <w:highlight w:val="none"/>
                <w:lang w:eastAsia="zh-CN"/>
              </w:rPr>
              <w:t>33mm</w:t>
            </w:r>
          </w:p>
          <w:p w14:paraId="68BA633D">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eastAsia="宋体"/>
                <w:color w:val="000000"/>
                <w:szCs w:val="21"/>
                <w:highlight w:val="none"/>
                <w:lang w:val="en-US" w:eastAsia="zh-CN"/>
              </w:rPr>
              <w:t>4、</w:t>
            </w:r>
            <w:r>
              <w:rPr>
                <w:rFonts w:hint="eastAsia" w:ascii="宋体" w:eastAsia="宋体"/>
                <w:color w:val="000000"/>
                <w:szCs w:val="21"/>
                <w:highlight w:val="none"/>
                <w:lang w:eastAsia="zh-CN"/>
              </w:rPr>
              <w:t>长度：133mm</w:t>
            </w:r>
            <w:r>
              <w:rPr>
                <w:rFonts w:hint="eastAsia" w:ascii="宋体" w:hAnsi="宋体" w:eastAsia="宋体" w:cs="宋体"/>
                <w:sz w:val="21"/>
                <w:szCs w:val="21"/>
                <w:highlight w:val="none"/>
                <w:lang w:val="en-US" w:eastAsia="zh-CN"/>
              </w:rPr>
              <w:t>～</w:t>
            </w:r>
            <w:r>
              <w:rPr>
                <w:rFonts w:hint="eastAsia" w:ascii="宋体" w:eastAsia="宋体"/>
                <w:color w:val="000000"/>
                <w:szCs w:val="21"/>
                <w:highlight w:val="none"/>
                <w:lang w:eastAsia="zh-CN"/>
              </w:rPr>
              <w:t>154mm</w:t>
            </w:r>
          </w:p>
        </w:tc>
      </w:tr>
      <w:tr w14:paraId="58A3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39" w:type="dxa"/>
            <w:shd w:val="clear" w:color="auto" w:fill="auto"/>
            <w:vAlign w:val="center"/>
          </w:tcPr>
          <w:p w14:paraId="752F225B">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4</w:t>
            </w:r>
          </w:p>
        </w:tc>
        <w:tc>
          <w:tcPr>
            <w:tcW w:w="2595" w:type="dxa"/>
            <w:shd w:val="clear" w:color="auto" w:fill="auto"/>
            <w:vAlign w:val="center"/>
          </w:tcPr>
          <w:p w14:paraId="32BF872E">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血管生物补片</w:t>
            </w:r>
          </w:p>
        </w:tc>
        <w:tc>
          <w:tcPr>
            <w:tcW w:w="4688" w:type="dxa"/>
            <w:shd w:val="clear" w:color="auto" w:fill="auto"/>
            <w:vAlign w:val="center"/>
          </w:tcPr>
          <w:p w14:paraId="66F6DA72">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1、用于</w:t>
            </w:r>
            <w:r>
              <w:rPr>
                <w:rFonts w:hint="eastAsia" w:ascii="宋体" w:eastAsia="宋体"/>
                <w:color w:val="000000"/>
                <w:szCs w:val="21"/>
                <w:highlight w:val="none"/>
                <w:lang w:eastAsia="zh-CN"/>
              </w:rPr>
              <w:t>颈动脉狭窄治疗、颈动脉内膜剥脱术；</w:t>
            </w:r>
          </w:p>
          <w:p w14:paraId="08977FE4">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val="en-US" w:eastAsia="zh-CN"/>
              </w:rPr>
            </w:pPr>
            <w:r>
              <w:rPr>
                <w:rFonts w:hint="eastAsia" w:ascii="宋体" w:eastAsia="宋体"/>
                <w:color w:val="000000"/>
                <w:szCs w:val="21"/>
                <w:highlight w:val="none"/>
                <w:lang w:val="en-US" w:eastAsia="zh-CN"/>
              </w:rPr>
              <w:t>2、材质：生物材料；</w:t>
            </w:r>
          </w:p>
          <w:p w14:paraId="62AEADD4">
            <w:pPr>
              <w:keepNext w:val="0"/>
              <w:keepLines w:val="0"/>
              <w:numPr>
                <w:ilvl w:val="0"/>
                <w:numId w:val="0"/>
              </w:numPr>
              <w:suppressLineNumbers w:val="0"/>
              <w:spacing w:beforeAutospacing="0" w:afterAutospacing="0"/>
              <w:ind w:right="0" w:rightChars="0"/>
              <w:jc w:val="left"/>
              <w:rPr>
                <w:rFonts w:hint="eastAsia" w:ascii="宋体"/>
                <w:sz w:val="24"/>
                <w:szCs w:val="24"/>
                <w:highlight w:val="none"/>
                <w:lang w:val="en-US" w:eastAsia="zh-CN"/>
              </w:rPr>
            </w:pPr>
            <w:r>
              <w:rPr>
                <w:rFonts w:hint="eastAsia" w:ascii="宋体" w:eastAsia="宋体"/>
                <w:color w:val="000000"/>
                <w:szCs w:val="21"/>
                <w:highlight w:val="none"/>
                <w:lang w:val="en-US" w:eastAsia="zh-CN"/>
              </w:rPr>
              <w:t>3、</w:t>
            </w:r>
            <w:r>
              <w:rPr>
                <w:rFonts w:hint="eastAsia" w:ascii="宋体" w:eastAsia="宋体"/>
                <w:color w:val="000000"/>
                <w:szCs w:val="21"/>
                <w:highlight w:val="none"/>
                <w:lang w:eastAsia="zh-CN"/>
              </w:rPr>
              <w:t>长方形单层片状组织，湿态保存。</w:t>
            </w:r>
          </w:p>
        </w:tc>
      </w:tr>
      <w:tr w14:paraId="454A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239" w:type="dxa"/>
            <w:shd w:val="clear" w:color="auto" w:fill="auto"/>
            <w:vAlign w:val="center"/>
          </w:tcPr>
          <w:p w14:paraId="110FEBB9">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MW0812-01</w:t>
            </w:r>
          </w:p>
        </w:tc>
        <w:tc>
          <w:tcPr>
            <w:tcW w:w="2595" w:type="dxa"/>
            <w:shd w:val="clear" w:color="auto" w:fill="auto"/>
            <w:vAlign w:val="center"/>
          </w:tcPr>
          <w:p w14:paraId="3AE10282">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植入式骶神经刺激系统</w:t>
            </w:r>
          </w:p>
        </w:tc>
        <w:tc>
          <w:tcPr>
            <w:tcW w:w="4688" w:type="dxa"/>
            <w:shd w:val="clear" w:color="auto" w:fill="auto"/>
            <w:vAlign w:val="center"/>
          </w:tcPr>
          <w:p w14:paraId="435CBE5E">
            <w:pPr>
              <w:keepNext w:val="0"/>
              <w:keepLines w:val="0"/>
              <w:numPr>
                <w:ilvl w:val="0"/>
                <w:numId w:val="2"/>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用于保守治疗无效或者保守治疗不耐受的患者的膀胱过度活动症的症状，包括急迫性尿失禁，明显的尿频，尿急等；</w:t>
            </w:r>
          </w:p>
          <w:p w14:paraId="08D0C15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2、包含刺激电极、经皮延伸导线组件、测试用刺激器、延伸导线、刺激器、刺激器程控仪等。</w:t>
            </w:r>
          </w:p>
        </w:tc>
      </w:tr>
      <w:tr w14:paraId="6EED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239" w:type="dxa"/>
            <w:shd w:val="clear" w:color="auto" w:fill="auto"/>
            <w:vAlign w:val="center"/>
          </w:tcPr>
          <w:p w14:paraId="7B24F2D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XN0812-01</w:t>
            </w:r>
          </w:p>
        </w:tc>
        <w:tc>
          <w:tcPr>
            <w:tcW w:w="2595" w:type="dxa"/>
            <w:shd w:val="clear" w:color="auto" w:fill="auto"/>
            <w:vAlign w:val="center"/>
          </w:tcPr>
          <w:p w14:paraId="3DB5AFF2">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经导管主动脉瓣系统</w:t>
            </w:r>
          </w:p>
        </w:tc>
        <w:tc>
          <w:tcPr>
            <w:tcW w:w="4688" w:type="dxa"/>
            <w:shd w:val="clear" w:color="auto" w:fill="auto"/>
            <w:vAlign w:val="center"/>
          </w:tcPr>
          <w:p w14:paraId="6B633293">
            <w:pPr>
              <w:keepNext w:val="0"/>
              <w:keepLines w:val="0"/>
              <w:numPr>
                <w:ilvl w:val="0"/>
                <w:numId w:val="3"/>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用于经皮主动脉瓣置换术治疗的患者；</w:t>
            </w:r>
          </w:p>
          <w:p w14:paraId="6D99AF94">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瓣膜流入端直径17～29mm，规格型号齐全；</w:t>
            </w:r>
          </w:p>
          <w:p w14:paraId="59AFCF8D">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瓣叶材质：生物材料，瓣架材质镍钛合金；</w:t>
            </w:r>
          </w:p>
          <w:p w14:paraId="5BCC3512">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具有外裙边，收腰设计；</w:t>
            </w:r>
          </w:p>
          <w:p w14:paraId="38A99258">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输送系统可回收；</w:t>
            </w:r>
          </w:p>
          <w:p w14:paraId="60C1A2AC">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兼容20F大鞘，有内联鞘版本。</w:t>
            </w:r>
          </w:p>
        </w:tc>
      </w:tr>
      <w:tr w14:paraId="5A43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239" w:type="dxa"/>
            <w:shd w:val="clear" w:color="auto" w:fill="auto"/>
            <w:vAlign w:val="center"/>
          </w:tcPr>
          <w:p w14:paraId="2B5D2E4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XN0812-02</w:t>
            </w:r>
          </w:p>
        </w:tc>
        <w:tc>
          <w:tcPr>
            <w:tcW w:w="2595" w:type="dxa"/>
            <w:shd w:val="clear" w:color="auto" w:fill="auto"/>
            <w:vAlign w:val="center"/>
          </w:tcPr>
          <w:p w14:paraId="49955A8B">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热稀释漂浮导管</w:t>
            </w:r>
          </w:p>
        </w:tc>
        <w:tc>
          <w:tcPr>
            <w:tcW w:w="4688" w:type="dxa"/>
            <w:shd w:val="clear" w:color="auto" w:fill="auto"/>
            <w:vAlign w:val="center"/>
          </w:tcPr>
          <w:p w14:paraId="0A08A8C2">
            <w:pPr>
              <w:keepNext w:val="0"/>
              <w:keepLines w:val="0"/>
              <w:numPr>
                <w:ilvl w:val="0"/>
                <w:numId w:val="4"/>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用于右心导管检查术；</w:t>
            </w:r>
          </w:p>
          <w:p w14:paraId="778BB76E">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材质：医用聚氨酯；</w:t>
            </w:r>
          </w:p>
          <w:p w14:paraId="79A11C61">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规格：7Fr、5Fr；</w:t>
            </w:r>
          </w:p>
          <w:p w14:paraId="4F27969C">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长度：110cm、90cm；</w:t>
            </w:r>
          </w:p>
          <w:p w14:paraId="7AD15D42">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有安全囊阀设计、防污套设计；</w:t>
            </w:r>
          </w:p>
          <w:p w14:paraId="532227CC">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有导管鞘、导丝、穿刺针、洞巾等</w:t>
            </w:r>
          </w:p>
        </w:tc>
      </w:tr>
      <w:tr w14:paraId="0E97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1BB7206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XH0812-02</w:t>
            </w:r>
          </w:p>
        </w:tc>
        <w:tc>
          <w:tcPr>
            <w:tcW w:w="2595" w:type="dxa"/>
            <w:shd w:val="clear" w:color="auto" w:fill="auto"/>
            <w:vAlign w:val="center"/>
          </w:tcPr>
          <w:p w14:paraId="1525DE9B">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一次性内窥镜外套导管</w:t>
            </w:r>
          </w:p>
        </w:tc>
        <w:tc>
          <w:tcPr>
            <w:tcW w:w="4688" w:type="dxa"/>
            <w:shd w:val="clear" w:color="auto" w:fill="auto"/>
            <w:vAlign w:val="center"/>
          </w:tcPr>
          <w:p w14:paraId="21B87DB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1、与小肠镜配套使用，对小肠内进行内镜检查与治疗；</w:t>
            </w:r>
          </w:p>
          <w:p w14:paraId="0ABCE378">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2、需适配以下机器使用，适配机型：</w:t>
            </w:r>
          </w:p>
          <w:p w14:paraId="3637B907">
            <w:pPr>
              <w:keepNext w:val="0"/>
              <w:keepLines w:val="0"/>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设备名称：单气囊电子小肠内窥镜系统</w:t>
            </w:r>
          </w:p>
          <w:p w14:paraId="5A71EC88">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生产厂家：奥林巴斯</w:t>
            </w:r>
          </w:p>
          <w:p w14:paraId="3F0E0C6C">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型号：SIF TYPE Q260</w:t>
            </w:r>
          </w:p>
          <w:p w14:paraId="7A01226E">
            <w:pPr>
              <w:keepNext w:val="0"/>
              <w:keepLines w:val="0"/>
              <w:numPr>
                <w:ilvl w:val="0"/>
                <w:numId w:val="0"/>
              </w:numPr>
              <w:suppressLineNumbers w:val="0"/>
              <w:spacing w:beforeAutospacing="0" w:afterAutospacing="0"/>
              <w:ind w:leftChars="0"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2、单气囊；</w:t>
            </w:r>
          </w:p>
          <w:p w14:paraId="6BEA4597">
            <w:pPr>
              <w:keepNext w:val="0"/>
              <w:keepLines w:val="0"/>
              <w:numPr>
                <w:ilvl w:val="0"/>
                <w:numId w:val="0"/>
              </w:numPr>
              <w:suppressLineNumbers w:val="0"/>
              <w:spacing w:beforeAutospacing="0" w:afterAutospacing="0"/>
              <w:ind w:leftChars="0"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3、外套管工作长度≥1320mm；</w:t>
            </w:r>
          </w:p>
          <w:p w14:paraId="309F5DA6">
            <w:pPr>
              <w:keepNext w:val="0"/>
              <w:keepLines w:val="0"/>
              <w:numPr>
                <w:ilvl w:val="0"/>
                <w:numId w:val="0"/>
              </w:numPr>
              <w:suppressLineNumbers w:val="0"/>
              <w:spacing w:beforeAutospacing="0" w:afterAutospacing="0"/>
              <w:ind w:leftChars="0"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4、外套管内径≥11mm；</w:t>
            </w:r>
          </w:p>
          <w:p w14:paraId="37502CBF">
            <w:pPr>
              <w:keepNext w:val="0"/>
              <w:keepLines w:val="0"/>
              <w:numPr>
                <w:ilvl w:val="0"/>
                <w:numId w:val="0"/>
              </w:numPr>
              <w:suppressLineNumbers w:val="0"/>
              <w:spacing w:beforeAutospacing="0" w:afterAutospacing="0"/>
              <w:ind w:leftChars="0"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5、硅胶材质，覆有亲水润滑涂层</w:t>
            </w:r>
          </w:p>
        </w:tc>
      </w:tr>
      <w:tr w14:paraId="06C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239" w:type="dxa"/>
            <w:shd w:val="clear" w:color="auto" w:fill="auto"/>
            <w:vAlign w:val="center"/>
          </w:tcPr>
          <w:p w14:paraId="2B594E4C">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YK0812-01</w:t>
            </w:r>
          </w:p>
        </w:tc>
        <w:tc>
          <w:tcPr>
            <w:tcW w:w="2595" w:type="dxa"/>
            <w:shd w:val="clear" w:color="auto" w:fill="auto"/>
            <w:vAlign w:val="center"/>
          </w:tcPr>
          <w:p w14:paraId="48424AE2">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生物羊膜</w:t>
            </w:r>
          </w:p>
        </w:tc>
        <w:tc>
          <w:tcPr>
            <w:tcW w:w="4688" w:type="dxa"/>
            <w:shd w:val="clear" w:color="auto" w:fill="auto"/>
            <w:vAlign w:val="center"/>
          </w:tcPr>
          <w:p w14:paraId="32CEB9E9">
            <w:pPr>
              <w:keepNext w:val="0"/>
              <w:keepLines w:val="0"/>
              <w:numPr>
                <w:ilvl w:val="0"/>
                <w:numId w:val="5"/>
              </w:numPr>
              <w:suppressLineNumbers w:val="0"/>
              <w:spacing w:beforeAutospacing="0" w:afterAutospacing="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用于眼表化学性烧伤、热烧伤；眼表创伤及眼表损害创面的修复等；</w:t>
            </w:r>
          </w:p>
          <w:p w14:paraId="410859ED">
            <w:pPr>
              <w:keepNext w:val="0"/>
              <w:keepLines w:val="0"/>
              <w:numPr>
                <w:ilvl w:val="0"/>
                <w:numId w:val="5"/>
              </w:numPr>
              <w:suppressLineNumbers w:val="0"/>
              <w:spacing w:beforeAutospacing="0" w:afterAutospacing="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湿态。</w:t>
            </w:r>
          </w:p>
        </w:tc>
      </w:tr>
      <w:tr w14:paraId="703A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39" w:type="dxa"/>
            <w:shd w:val="clear" w:color="auto" w:fill="auto"/>
            <w:vAlign w:val="center"/>
          </w:tcPr>
          <w:p w14:paraId="313C875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YK0812-02</w:t>
            </w:r>
          </w:p>
        </w:tc>
        <w:tc>
          <w:tcPr>
            <w:tcW w:w="2595" w:type="dxa"/>
            <w:shd w:val="clear" w:color="auto" w:fill="auto"/>
            <w:vAlign w:val="center"/>
          </w:tcPr>
          <w:p w14:paraId="0C19E06A">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有晶体眼人工晶体</w:t>
            </w:r>
          </w:p>
        </w:tc>
        <w:tc>
          <w:tcPr>
            <w:tcW w:w="4688" w:type="dxa"/>
            <w:shd w:val="clear" w:color="auto" w:fill="auto"/>
            <w:vAlign w:val="center"/>
          </w:tcPr>
          <w:p w14:paraId="725C5A6C">
            <w:pPr>
              <w:keepNext w:val="0"/>
              <w:keepLines w:val="0"/>
              <w:numPr>
                <w:ilvl w:val="0"/>
                <w:numId w:val="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用于成年人有晶状体眼的治疗、矫正，降低近视度数；</w:t>
            </w:r>
          </w:p>
          <w:p w14:paraId="72B26CAD">
            <w:pPr>
              <w:keepNext w:val="0"/>
              <w:keepLines w:val="0"/>
              <w:numPr>
                <w:ilvl w:val="0"/>
                <w:numId w:val="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材质：平衡性丙烯酸酯；</w:t>
            </w:r>
          </w:p>
          <w:p w14:paraId="1627DEA9">
            <w:pPr>
              <w:keepNext w:val="0"/>
              <w:keepLines w:val="0"/>
              <w:numPr>
                <w:ilvl w:val="0"/>
                <w:numId w:val="6"/>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规格型号齐全</w:t>
            </w:r>
          </w:p>
        </w:tc>
      </w:tr>
      <w:tr w14:paraId="3D12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239" w:type="dxa"/>
            <w:shd w:val="clear" w:color="auto" w:fill="auto"/>
            <w:vAlign w:val="center"/>
          </w:tcPr>
          <w:p w14:paraId="7635164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YK0812-04</w:t>
            </w:r>
          </w:p>
        </w:tc>
        <w:tc>
          <w:tcPr>
            <w:tcW w:w="2595" w:type="dxa"/>
            <w:shd w:val="clear" w:color="auto" w:fill="auto"/>
            <w:vAlign w:val="center"/>
          </w:tcPr>
          <w:p w14:paraId="6D4BA1D3">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囊袋张力环</w:t>
            </w:r>
          </w:p>
        </w:tc>
        <w:tc>
          <w:tcPr>
            <w:tcW w:w="4688" w:type="dxa"/>
            <w:shd w:val="clear" w:color="auto" w:fill="auto"/>
            <w:vAlign w:val="center"/>
          </w:tcPr>
          <w:p w14:paraId="57572323">
            <w:pPr>
              <w:keepNext w:val="0"/>
              <w:keepLines w:val="0"/>
              <w:numPr>
                <w:ilvl w:val="0"/>
                <w:numId w:val="7"/>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用于白内障手术术前或术中悬韧带断裂、悬韧带脆弱以及有囊袋皱缩风险的患者</w:t>
            </w:r>
          </w:p>
          <w:p w14:paraId="4BB3BDA0">
            <w:pPr>
              <w:keepNext w:val="0"/>
              <w:keepLines w:val="0"/>
              <w:numPr>
                <w:ilvl w:val="0"/>
                <w:numId w:val="7"/>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型号规格齐全。</w:t>
            </w:r>
          </w:p>
        </w:tc>
      </w:tr>
      <w:tr w14:paraId="23D5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39" w:type="dxa"/>
            <w:shd w:val="clear" w:color="auto" w:fill="auto"/>
            <w:vAlign w:val="center"/>
          </w:tcPr>
          <w:p w14:paraId="6B9EB9DE">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YK0812-05</w:t>
            </w:r>
          </w:p>
        </w:tc>
        <w:tc>
          <w:tcPr>
            <w:tcW w:w="2595" w:type="dxa"/>
            <w:shd w:val="clear" w:color="auto" w:fill="auto"/>
            <w:vAlign w:val="center"/>
          </w:tcPr>
          <w:p w14:paraId="2CD74131">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聚丙烯带针缝合线</w:t>
            </w:r>
          </w:p>
        </w:tc>
        <w:tc>
          <w:tcPr>
            <w:tcW w:w="4688" w:type="dxa"/>
            <w:shd w:val="clear" w:color="auto" w:fill="auto"/>
            <w:vAlign w:val="center"/>
          </w:tcPr>
          <w:p w14:paraId="1EAC59FB">
            <w:pPr>
              <w:keepNext w:val="0"/>
              <w:keepLines w:val="0"/>
              <w:numPr>
                <w:ilvl w:val="0"/>
                <w:numId w:val="8"/>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用于眼科手术缝合</w:t>
            </w:r>
          </w:p>
          <w:p w14:paraId="477B2B92">
            <w:pPr>
              <w:keepNext w:val="0"/>
              <w:keepLines w:val="0"/>
              <w:numPr>
                <w:ilvl w:val="0"/>
                <w:numId w:val="8"/>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材质：聚丙烯</w:t>
            </w:r>
          </w:p>
          <w:p w14:paraId="2211EEE8">
            <w:pPr>
              <w:keepNext w:val="0"/>
              <w:keepLines w:val="0"/>
              <w:numPr>
                <w:ilvl w:val="0"/>
                <w:numId w:val="8"/>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具有9-0单弯针环线、9-0弯直针、10-0单弯针环线、10-0弯直针</w:t>
            </w:r>
          </w:p>
        </w:tc>
      </w:tr>
      <w:tr w14:paraId="48B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239" w:type="dxa"/>
            <w:shd w:val="clear" w:color="auto" w:fill="auto"/>
            <w:vAlign w:val="center"/>
          </w:tcPr>
          <w:p w14:paraId="0920367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YK0812-06</w:t>
            </w:r>
          </w:p>
        </w:tc>
        <w:tc>
          <w:tcPr>
            <w:tcW w:w="2595" w:type="dxa"/>
            <w:shd w:val="clear" w:color="auto" w:fill="auto"/>
            <w:vAlign w:val="center"/>
          </w:tcPr>
          <w:p w14:paraId="2B985223">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眼科激光光纤</w:t>
            </w:r>
          </w:p>
        </w:tc>
        <w:tc>
          <w:tcPr>
            <w:tcW w:w="4688" w:type="dxa"/>
            <w:shd w:val="clear" w:color="auto" w:fill="auto"/>
            <w:vAlign w:val="center"/>
          </w:tcPr>
          <w:p w14:paraId="5292F43B">
            <w:pPr>
              <w:keepNext w:val="0"/>
              <w:keepLines w:val="0"/>
              <w:numPr>
                <w:ilvl w:val="0"/>
                <w:numId w:val="9"/>
              </w:numPr>
              <w:suppressLineNumbers w:val="0"/>
              <w:spacing w:beforeAutospacing="0" w:afterAutospacing="0"/>
              <w:jc w:val="left"/>
              <w:rPr>
                <w:rFonts w:hint="eastAsia"/>
                <w:highlight w:val="none"/>
                <w:lang w:eastAsia="zh-CN"/>
              </w:rPr>
            </w:pPr>
            <w:r>
              <w:rPr>
                <w:rFonts w:hint="eastAsia" w:ascii="宋体" w:hAnsi="宋体" w:eastAsia="宋体" w:cs="宋体"/>
                <w:sz w:val="21"/>
                <w:szCs w:val="21"/>
                <w:highlight w:val="none"/>
                <w:lang w:val="en-US" w:eastAsia="zh-CN"/>
              </w:rPr>
              <w:t>用于眼底手术时激光治疗使用</w:t>
            </w:r>
            <w:r>
              <w:rPr>
                <w:rFonts w:hint="eastAsia"/>
                <w:highlight w:val="none"/>
                <w:lang w:eastAsia="zh-CN"/>
              </w:rPr>
              <w:t>；</w:t>
            </w:r>
          </w:p>
          <w:p w14:paraId="49935C0E">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2、需适配以下机器使用，适配机型：</w:t>
            </w:r>
          </w:p>
          <w:p w14:paraId="0E51F630">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设备名称：眼科激光光凝机</w:t>
            </w:r>
          </w:p>
          <w:p w14:paraId="4A0B2D06">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生产厂家：美国爱尔康、美国IRIDEX、科医人</w:t>
            </w:r>
          </w:p>
          <w:p w14:paraId="7F4EB1FA">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型号：Purepoint、IRIS、 NOVUS Spectra</w:t>
            </w:r>
          </w:p>
          <w:p w14:paraId="49D63DCB">
            <w:pPr>
              <w:keepNext w:val="0"/>
              <w:keepLines w:val="0"/>
              <w:numPr>
                <w:ilvl w:val="0"/>
                <w:numId w:val="0"/>
              </w:numPr>
              <w:suppressLineNumbers w:val="0"/>
              <w:spacing w:beforeAutospacing="0" w:afterAutospacing="0"/>
              <w:ind w:right="0" w:rightChars="0"/>
              <w:jc w:val="left"/>
              <w:rPr>
                <w:rFonts w:hint="eastAsia"/>
                <w:highlight w:val="none"/>
                <w:lang w:val="en-US" w:eastAsia="zh-CN"/>
              </w:rPr>
            </w:pPr>
            <w:r>
              <w:rPr>
                <w:rFonts w:hint="eastAsia" w:ascii="宋体" w:hAnsi="宋体" w:eastAsia="宋体" w:cs="宋体"/>
                <w:sz w:val="21"/>
                <w:szCs w:val="21"/>
                <w:highlight w:val="none"/>
                <w:lang w:val="en-US" w:eastAsia="zh-CN"/>
              </w:rPr>
              <w:t>3、可以消毒多次使用</w:t>
            </w:r>
          </w:p>
        </w:tc>
      </w:tr>
      <w:tr w14:paraId="7C28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239" w:type="dxa"/>
            <w:shd w:val="clear" w:color="auto" w:fill="auto"/>
            <w:vAlign w:val="center"/>
          </w:tcPr>
          <w:p w14:paraId="61B0460D">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KQ0812-01</w:t>
            </w:r>
          </w:p>
        </w:tc>
        <w:tc>
          <w:tcPr>
            <w:tcW w:w="2595" w:type="dxa"/>
            <w:shd w:val="clear" w:color="auto" w:fill="auto"/>
            <w:vAlign w:val="center"/>
          </w:tcPr>
          <w:p w14:paraId="72F397F6">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生物组装高分子脱敏剂</w:t>
            </w:r>
          </w:p>
        </w:tc>
        <w:tc>
          <w:tcPr>
            <w:tcW w:w="4688" w:type="dxa"/>
            <w:shd w:val="clear" w:color="auto" w:fill="auto"/>
            <w:vAlign w:val="center"/>
          </w:tcPr>
          <w:p w14:paraId="1111F9D9">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1、用于封闭牙本质小管，治疗牙本质敏感症；</w:t>
            </w:r>
          </w:p>
          <w:p w14:paraId="6CE5E2AA">
            <w:pPr>
              <w:keepNext w:val="0"/>
              <w:keepLines w:val="0"/>
              <w:numPr>
                <w:ilvl w:val="0"/>
                <w:numId w:val="0"/>
              </w:numPr>
              <w:suppressLineNumbers w:val="0"/>
              <w:spacing w:beforeAutospacing="0" w:afterAutospacing="0"/>
              <w:ind w:right="0" w:rightChars="0"/>
              <w:jc w:val="left"/>
              <w:rPr>
                <w:rFonts w:hint="eastAsia"/>
                <w:sz w:val="24"/>
                <w:szCs w:val="24"/>
                <w:highlight w:val="none"/>
                <w:lang w:val="en-US" w:eastAsia="zh-CN"/>
              </w:rPr>
            </w:pPr>
            <w:r>
              <w:rPr>
                <w:rFonts w:hint="eastAsia" w:ascii="宋体" w:hAnsi="宋体" w:eastAsia="宋体" w:cs="宋体"/>
                <w:sz w:val="21"/>
                <w:szCs w:val="21"/>
                <w:highlight w:val="none"/>
                <w:lang w:val="en-US" w:eastAsia="zh-CN"/>
              </w:rPr>
              <w:t>2、包含1%碳酸氢钠溶液，及聚合物改性蛋白、成膜剂、聚乙二醇制成的粉末。</w:t>
            </w:r>
          </w:p>
        </w:tc>
      </w:tr>
      <w:tr w14:paraId="30D9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239" w:type="dxa"/>
            <w:shd w:val="clear" w:color="auto" w:fill="auto"/>
            <w:vAlign w:val="center"/>
          </w:tcPr>
          <w:p w14:paraId="6573DC3D">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KQ0812-02</w:t>
            </w:r>
          </w:p>
        </w:tc>
        <w:tc>
          <w:tcPr>
            <w:tcW w:w="2595" w:type="dxa"/>
            <w:shd w:val="clear" w:color="auto" w:fill="auto"/>
            <w:vAlign w:val="center"/>
          </w:tcPr>
          <w:p w14:paraId="1E8E07A6">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定制式正畸矫治器</w:t>
            </w:r>
          </w:p>
        </w:tc>
        <w:tc>
          <w:tcPr>
            <w:tcW w:w="4688" w:type="dxa"/>
            <w:shd w:val="clear" w:color="auto" w:fill="auto"/>
            <w:vAlign w:val="center"/>
          </w:tcPr>
          <w:p w14:paraId="1A13711B">
            <w:pPr>
              <w:keepNext w:val="0"/>
              <w:keepLines w:val="0"/>
              <w:numPr>
                <w:ilvl w:val="0"/>
                <w:numId w:val="1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用于口腔正畸治疗；</w:t>
            </w:r>
          </w:p>
          <w:p w14:paraId="12F47DBC">
            <w:pPr>
              <w:keepNext w:val="0"/>
              <w:keepLines w:val="0"/>
              <w:numPr>
                <w:ilvl w:val="0"/>
                <w:numId w:val="10"/>
              </w:numPr>
              <w:suppressLineNumbers w:val="0"/>
              <w:spacing w:beforeAutospacing="0" w:afterAutospacing="0"/>
              <w:ind w:left="0" w:leftChars="0" w:right="0" w:righ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包含舌簧矫治器、联合式腭托、上颌平面导板（基托可摘）等矫治器；</w:t>
            </w:r>
          </w:p>
          <w:p w14:paraId="30B2ABDD">
            <w:pPr>
              <w:keepNext w:val="0"/>
              <w:keepLines w:val="0"/>
              <w:numPr>
                <w:ilvl w:val="0"/>
                <w:numId w:val="10"/>
              </w:numPr>
              <w:suppressLineNumbers w:val="0"/>
              <w:spacing w:beforeAutospacing="0" w:afterAutospacing="0"/>
              <w:ind w:left="0" w:leftChars="0" w:right="0" w:righ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包含双导面矫正装置（活动）、快速扩弓装置、平行导板等矫治装置。</w:t>
            </w:r>
          </w:p>
        </w:tc>
      </w:tr>
      <w:tr w14:paraId="4A30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782BBA2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MZ0812-01</w:t>
            </w:r>
          </w:p>
        </w:tc>
        <w:tc>
          <w:tcPr>
            <w:tcW w:w="2595" w:type="dxa"/>
            <w:shd w:val="clear" w:color="auto" w:fill="auto"/>
            <w:vAlign w:val="center"/>
          </w:tcPr>
          <w:p w14:paraId="51124B63">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一次性无创实时动脉血压监测系统用压力传感器（测压套件）</w:t>
            </w:r>
          </w:p>
        </w:tc>
        <w:tc>
          <w:tcPr>
            <w:tcW w:w="4688" w:type="dxa"/>
            <w:shd w:val="clear" w:color="auto" w:fill="auto"/>
            <w:vAlign w:val="center"/>
          </w:tcPr>
          <w:p w14:paraId="43EDA696">
            <w:pPr>
              <w:keepNext w:val="0"/>
              <w:keepLines w:val="0"/>
              <w:numPr>
                <w:ilvl w:val="0"/>
                <w:numId w:val="11"/>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配合无创实时动脉血压及血流动力学监测系统使用，获得连续绝对的动脉压波形和数值并且通过公式换算可计算出血流动力学参数的趋势与数值；</w:t>
            </w:r>
          </w:p>
          <w:p w14:paraId="3F74F55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2、需适配以下机器使用，适配机型：</w:t>
            </w:r>
          </w:p>
          <w:p w14:paraId="636D650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设备名称：无创实时动脉血压及血流动力学监测系统</w:t>
            </w:r>
          </w:p>
          <w:p w14:paraId="15035FB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生产厂家：浙江善时生物</w:t>
            </w:r>
          </w:p>
          <w:p w14:paraId="4A9A287E">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型号：TL-400</w:t>
            </w:r>
          </w:p>
          <w:p w14:paraId="62D9613D">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3、感应器主要由8Pin连接端子，基座，包胶端，罩子和移除板组成。</w:t>
            </w:r>
          </w:p>
          <w:p w14:paraId="51EE7DC4">
            <w:pPr>
              <w:keepNext w:val="0"/>
              <w:keepLines w:val="0"/>
              <w:numPr>
                <w:ilvl w:val="0"/>
                <w:numId w:val="0"/>
              </w:numPr>
              <w:suppressLineNumbers w:val="0"/>
              <w:spacing w:beforeAutospacing="0" w:afterAutospacing="0"/>
              <w:ind w:right="0" w:rightChars="0"/>
              <w:jc w:val="left"/>
              <w:rPr>
                <w:rFonts w:hint="eastAsia"/>
                <w:sz w:val="24"/>
                <w:szCs w:val="24"/>
                <w:highlight w:val="none"/>
                <w:lang w:val="en-US" w:eastAsia="zh-CN"/>
              </w:rPr>
            </w:pPr>
            <w:r>
              <w:rPr>
                <w:rFonts w:hint="eastAsia" w:ascii="宋体" w:hAnsi="宋体" w:eastAsia="宋体" w:cs="宋体"/>
                <w:sz w:val="21"/>
                <w:szCs w:val="21"/>
                <w:highlight w:val="none"/>
                <w:lang w:val="en-US" w:eastAsia="zh-CN"/>
              </w:rPr>
              <w:t>4、托板主要由ABS固定板，医用胶和医用魔术贴绑带组成。</w:t>
            </w:r>
          </w:p>
        </w:tc>
      </w:tr>
      <w:tr w14:paraId="5FF7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39" w:type="dxa"/>
            <w:shd w:val="clear" w:color="auto" w:fill="auto"/>
            <w:vAlign w:val="center"/>
          </w:tcPr>
          <w:p w14:paraId="4E90D89A">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JY0812-01</w:t>
            </w:r>
          </w:p>
        </w:tc>
        <w:tc>
          <w:tcPr>
            <w:tcW w:w="2595" w:type="dxa"/>
            <w:shd w:val="clear" w:color="auto" w:fill="auto"/>
            <w:vAlign w:val="center"/>
          </w:tcPr>
          <w:p w14:paraId="1E4B48DA">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真菌药敏培养基、念珠菌鉴别琼脂平板、弧菌培养基（TCBS）、碱性蛋白胨水培养基</w:t>
            </w:r>
          </w:p>
        </w:tc>
        <w:tc>
          <w:tcPr>
            <w:tcW w:w="4688" w:type="dxa"/>
            <w:shd w:val="clear" w:color="auto" w:fill="auto"/>
            <w:vAlign w:val="center"/>
          </w:tcPr>
          <w:p w14:paraId="093579C1">
            <w:pPr>
              <w:keepNext w:val="0"/>
              <w:keepLines w:val="0"/>
              <w:numPr>
                <w:ilvl w:val="0"/>
                <w:numId w:val="12"/>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用于真菌标本的体外药敏试验、真菌（念珠菌）的分离和选择鉴别、霍乱弧菌及副溶血弧菌的增菌及分离培养；</w:t>
            </w:r>
          </w:p>
          <w:p w14:paraId="73EB194A">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2、材质：PVC、玻璃管；</w:t>
            </w:r>
          </w:p>
          <w:p w14:paraId="445FB79A">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3、平皿直径为9cm、5.5cm、7cm；</w:t>
            </w:r>
          </w:p>
          <w:p w14:paraId="21FA3E63">
            <w:pPr>
              <w:keepNext w:val="0"/>
              <w:keepLines w:val="0"/>
              <w:numPr>
                <w:ilvl w:val="0"/>
                <w:numId w:val="0"/>
              </w:numPr>
              <w:suppressLineNumbers w:val="0"/>
              <w:spacing w:beforeAutospacing="0" w:afterAutospacing="0"/>
              <w:ind w:right="0" w:rightChars="0"/>
              <w:jc w:val="left"/>
              <w:rPr>
                <w:rFonts w:hint="eastAsia"/>
                <w:highlight w:val="none"/>
                <w:lang w:val="en-US" w:eastAsia="zh-CN"/>
              </w:rPr>
            </w:pPr>
            <w:r>
              <w:rPr>
                <w:rFonts w:hint="eastAsia" w:ascii="宋体" w:hAnsi="宋体" w:eastAsia="宋体" w:cs="宋体"/>
                <w:sz w:val="21"/>
                <w:szCs w:val="21"/>
                <w:highlight w:val="none"/>
                <w:lang w:val="en-US" w:eastAsia="zh-CN"/>
              </w:rPr>
              <w:t>4、12ml玻璃管，内含10ml碱性蛋白胨水</w:t>
            </w:r>
          </w:p>
        </w:tc>
      </w:tr>
      <w:tr w14:paraId="0CB2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4593460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JY0812-02</w:t>
            </w:r>
          </w:p>
        </w:tc>
        <w:tc>
          <w:tcPr>
            <w:tcW w:w="2595" w:type="dxa"/>
            <w:shd w:val="clear" w:color="auto" w:fill="auto"/>
            <w:vAlign w:val="center"/>
          </w:tcPr>
          <w:p w14:paraId="294CD548">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细菌药敏试条（试纸）</w:t>
            </w:r>
          </w:p>
        </w:tc>
        <w:tc>
          <w:tcPr>
            <w:tcW w:w="4688" w:type="dxa"/>
            <w:shd w:val="clear" w:color="auto" w:fill="auto"/>
            <w:vAlign w:val="center"/>
          </w:tcPr>
          <w:p w14:paraId="355A8CAA">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1、单个细菌药敏试条（试纸）用于补充药敏卡中的抗生素种类，尤其针对耐药菌；</w:t>
            </w:r>
          </w:p>
          <w:p w14:paraId="517BBCB7">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药敏试条（E试验法）需包含：两性霉素B、伊曲康唑、伏立康唑、泊沙康唑、艾沙康唑、头孢他啶-阿维巴坦、氨苄西林、复方新诺明、亚胺培南、美罗培南、厄他培南、替加环素、多粘菌素、氨曲南、丁胺卡那、哌拉西林/他唑巴坦、头孢吡肟、利奈唑胺、米诺环素、头孢曲松、阿莫西林克拉维酸、环丙沙星、庆大霉素、左氧氟沙星、头孢哌酮舒巴坦；</w:t>
            </w:r>
          </w:p>
          <w:p w14:paraId="21ED40FF">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3、药敏试纸（扩散法&lt;K-B法&gt;）头孢他啶/阿维巴坦、厄他培南；</w:t>
            </w:r>
          </w:p>
          <w:p w14:paraId="76AB6CAC">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4、碳青霉烯酶检测试条（胶体金）；</w:t>
            </w:r>
          </w:p>
          <w:p w14:paraId="4A04A45E">
            <w:pPr>
              <w:keepNext w:val="0"/>
              <w:keepLines w:val="0"/>
              <w:numPr>
                <w:ilvl w:val="0"/>
                <w:numId w:val="0"/>
              </w:numPr>
              <w:suppressLineNumbers w:val="0"/>
              <w:spacing w:beforeAutospacing="0" w:afterAutospacing="0"/>
              <w:ind w:right="0" w:rightChars="0"/>
              <w:jc w:val="left"/>
              <w:rPr>
                <w:rFonts w:hint="eastAsia" w:ascii="宋体" w:hAnsi="宋体"/>
                <w:color w:val="000000"/>
                <w:sz w:val="24"/>
                <w:highlight w:val="none"/>
                <w:lang w:val="en-US" w:eastAsia="zh-CN"/>
              </w:rPr>
            </w:pPr>
            <w:r>
              <w:rPr>
                <w:rFonts w:hint="eastAsia" w:ascii="宋体" w:hAnsi="宋体" w:eastAsia="宋体" w:cs="宋体"/>
                <w:sz w:val="21"/>
                <w:szCs w:val="21"/>
                <w:highlight w:val="none"/>
                <w:lang w:val="en-US" w:eastAsia="zh-CN"/>
              </w:rPr>
              <w:t>5、多粘菌素E药敏试剂：微量肉汤稀释法。</w:t>
            </w:r>
          </w:p>
        </w:tc>
      </w:tr>
      <w:tr w14:paraId="7049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trPr>
        <w:tc>
          <w:tcPr>
            <w:tcW w:w="1239" w:type="dxa"/>
            <w:shd w:val="clear" w:color="auto" w:fill="auto"/>
            <w:vAlign w:val="center"/>
          </w:tcPr>
          <w:p w14:paraId="4532C4F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HY0812-01</w:t>
            </w:r>
          </w:p>
        </w:tc>
        <w:tc>
          <w:tcPr>
            <w:tcW w:w="2595" w:type="dxa"/>
            <w:shd w:val="clear" w:color="auto" w:fill="auto"/>
            <w:vAlign w:val="center"/>
          </w:tcPr>
          <w:p w14:paraId="190A30C9">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闪烁采样瓶</w:t>
            </w:r>
          </w:p>
        </w:tc>
        <w:tc>
          <w:tcPr>
            <w:tcW w:w="4688" w:type="dxa"/>
            <w:shd w:val="clear" w:color="auto" w:fill="auto"/>
            <w:vAlign w:val="center"/>
          </w:tcPr>
          <w:p w14:paraId="1EF5D7BD">
            <w:pPr>
              <w:keepNext w:val="0"/>
              <w:keepLines w:val="0"/>
              <w:numPr>
                <w:ilvl w:val="0"/>
                <w:numId w:val="13"/>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用于呼气样</w:t>
            </w:r>
            <w:bookmarkStart w:id="0" w:name="_GoBack"/>
            <w:bookmarkEnd w:id="0"/>
            <w:r>
              <w:rPr>
                <w:rFonts w:hint="eastAsia" w:ascii="宋体" w:hAnsi="宋体" w:eastAsia="宋体" w:cs="宋体"/>
                <w:sz w:val="21"/>
                <w:szCs w:val="21"/>
                <w:highlight w:val="none"/>
                <w:lang w:val="en-US" w:eastAsia="zh-CN"/>
              </w:rPr>
              <w:t>本的气体收集，来诊断幽门螺杆菌现症感染</w:t>
            </w:r>
          </w:p>
          <w:p w14:paraId="437C82E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2、需适配以下机器使用，适配机型：</w:t>
            </w:r>
          </w:p>
          <w:p w14:paraId="2487E99A">
            <w:pPr>
              <w:keepNext w:val="0"/>
              <w:keepLines w:val="0"/>
              <w:numPr>
                <w:ilvl w:val="0"/>
                <w:numId w:val="0"/>
              </w:numPr>
              <w:suppressLineNumbers w:val="0"/>
              <w:spacing w:beforeAutospacing="0" w:afterAutospacing="0"/>
              <w:ind w:right="0" w:rightChars="0"/>
              <w:jc w:val="left"/>
              <w:rPr>
                <w:rFonts w:hint="eastAsia" w:ascii="宋体" w:hAnsi="宋体" w:cs="宋体"/>
                <w:sz w:val="24"/>
                <w:szCs w:val="24"/>
                <w:highlight w:val="none"/>
                <w:lang w:val="en-US" w:eastAsia="zh-CN"/>
              </w:rPr>
            </w:pPr>
            <w:r>
              <w:rPr>
                <w:rFonts w:hint="eastAsia" w:ascii="宋体" w:hAnsi="宋体" w:eastAsia="宋体" w:cs="宋体"/>
                <w:sz w:val="21"/>
                <w:szCs w:val="21"/>
                <w:highlight w:val="none"/>
                <w:lang w:val="en-US" w:eastAsia="zh-CN"/>
              </w:rPr>
              <w:t>设备名称：</w:t>
            </w:r>
            <w:r>
              <w:rPr>
                <w:rFonts w:hint="eastAsia" w:ascii="宋体" w:hAnsi="宋体" w:cs="宋体"/>
                <w:sz w:val="24"/>
                <w:szCs w:val="24"/>
                <w:highlight w:val="none"/>
                <w:lang w:val="en-US" w:eastAsia="zh-CN"/>
              </w:rPr>
              <w:t>幽门螺杆菌测试仪</w:t>
            </w:r>
          </w:p>
          <w:p w14:paraId="607AB8C1">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生产厂家：深圳市中核海得威</w:t>
            </w:r>
          </w:p>
          <w:p w14:paraId="62A3664E">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型号：HUBT-01P</w:t>
            </w:r>
          </w:p>
          <w:p w14:paraId="64DAD6D8">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3、检测探测效率≥70%；</w:t>
            </w:r>
          </w:p>
          <w:p w14:paraId="6F6735F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4、采样瓶为玻璃瓶，不受静电干扰；</w:t>
            </w:r>
          </w:p>
          <w:p w14:paraId="19B2350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5、吹气管需独立包装，带有防倒吸装置；</w:t>
            </w:r>
          </w:p>
        </w:tc>
      </w:tr>
      <w:tr w14:paraId="29AF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239" w:type="dxa"/>
            <w:shd w:val="clear" w:color="auto" w:fill="auto"/>
            <w:vAlign w:val="center"/>
          </w:tcPr>
          <w:p w14:paraId="5C5DF4EF">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JZ0812-01</w:t>
            </w:r>
          </w:p>
        </w:tc>
        <w:tc>
          <w:tcPr>
            <w:tcW w:w="2595" w:type="dxa"/>
            <w:shd w:val="clear" w:color="auto" w:fill="auto"/>
            <w:vAlign w:val="center"/>
          </w:tcPr>
          <w:p w14:paraId="0DA19896">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一次性粪便专用引流管</w:t>
            </w:r>
          </w:p>
        </w:tc>
        <w:tc>
          <w:tcPr>
            <w:tcW w:w="4688" w:type="dxa"/>
            <w:shd w:val="clear" w:color="auto" w:fill="auto"/>
            <w:vAlign w:val="center"/>
          </w:tcPr>
          <w:p w14:paraId="72DD8F9A">
            <w:pPr>
              <w:keepNext w:val="0"/>
              <w:keepLines w:val="0"/>
              <w:numPr>
                <w:ilvl w:val="0"/>
                <w:numId w:val="14"/>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用于引流液体粪便或半流体粪便；</w:t>
            </w:r>
          </w:p>
          <w:p w14:paraId="4F827460">
            <w:pPr>
              <w:keepNext w:val="0"/>
              <w:keepLines w:val="0"/>
              <w:numPr>
                <w:ilvl w:val="0"/>
                <w:numId w:val="14"/>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收集腔尺寸:长≥151mm、宽≥144mm；</w:t>
            </w:r>
          </w:p>
          <w:p w14:paraId="617A54BD">
            <w:pPr>
              <w:keepNext w:val="0"/>
              <w:keepLines w:val="0"/>
              <w:numPr>
                <w:ilvl w:val="0"/>
                <w:numId w:val="14"/>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吸盘尺寸:长≥113mm、宽≥105mm；</w:t>
            </w:r>
          </w:p>
          <w:p w14:paraId="2EDF13BE">
            <w:pPr>
              <w:keepNext w:val="0"/>
              <w:keepLines w:val="0"/>
              <w:numPr>
                <w:ilvl w:val="0"/>
                <w:numId w:val="14"/>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收集孔尺寸:长≥36mm、宽≥27mm；</w:t>
            </w:r>
          </w:p>
          <w:p w14:paraId="0F28BB8C">
            <w:pPr>
              <w:keepNext w:val="0"/>
              <w:keepLines w:val="0"/>
              <w:numPr>
                <w:ilvl w:val="0"/>
                <w:numId w:val="14"/>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软管的尺寸:外径≥7mm、长:≥1350mm；</w:t>
            </w:r>
          </w:p>
        </w:tc>
      </w:tr>
      <w:tr w14:paraId="4659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239" w:type="dxa"/>
            <w:shd w:val="clear" w:color="auto" w:fill="auto"/>
            <w:vAlign w:val="center"/>
          </w:tcPr>
          <w:p w14:paraId="3C047A8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XT0812-01</w:t>
            </w:r>
          </w:p>
        </w:tc>
        <w:tc>
          <w:tcPr>
            <w:tcW w:w="2595" w:type="dxa"/>
            <w:shd w:val="clear" w:color="auto" w:fill="auto"/>
            <w:vAlign w:val="center"/>
          </w:tcPr>
          <w:p w14:paraId="52594A47">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可吸收外科缝线</w:t>
            </w:r>
          </w:p>
        </w:tc>
        <w:tc>
          <w:tcPr>
            <w:tcW w:w="4688" w:type="dxa"/>
            <w:shd w:val="clear" w:color="auto" w:fill="auto"/>
            <w:vAlign w:val="center"/>
          </w:tcPr>
          <w:p w14:paraId="1989F5A3">
            <w:pPr>
              <w:keepNext w:val="0"/>
              <w:keepLines w:val="0"/>
              <w:numPr>
                <w:ilvl w:val="0"/>
                <w:numId w:val="15"/>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用于具有感染性疾病患者的软组织缝合，可防止医护人员针刺感染；</w:t>
            </w:r>
          </w:p>
          <w:p w14:paraId="48D1CCDD">
            <w:pPr>
              <w:keepNext w:val="0"/>
              <w:keepLines w:val="0"/>
              <w:numPr>
                <w:ilvl w:val="0"/>
                <w:numId w:val="15"/>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由乙交酯和丙交酯共聚而成，60-90天可完全吸收；</w:t>
            </w:r>
          </w:p>
          <w:p w14:paraId="356F835A">
            <w:pPr>
              <w:keepNext w:val="0"/>
              <w:keepLines w:val="0"/>
              <w:numPr>
                <w:ilvl w:val="0"/>
                <w:numId w:val="15"/>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具有三氯生涂层，可达到抑菌作用；</w:t>
            </w:r>
          </w:p>
          <w:p w14:paraId="45326769">
            <w:pPr>
              <w:keepNext w:val="0"/>
              <w:keepLines w:val="0"/>
              <w:numPr>
                <w:ilvl w:val="0"/>
                <w:numId w:val="15"/>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针尖经过钝化处理；</w:t>
            </w:r>
          </w:p>
          <w:p w14:paraId="7016EB47">
            <w:pPr>
              <w:keepNext w:val="0"/>
              <w:keepLines w:val="0"/>
              <w:numPr>
                <w:ilvl w:val="0"/>
                <w:numId w:val="15"/>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搭配黑色或银色缝合针。</w:t>
            </w:r>
          </w:p>
        </w:tc>
      </w:tr>
      <w:tr w14:paraId="4BC9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239" w:type="dxa"/>
            <w:shd w:val="clear" w:color="auto" w:fill="auto"/>
            <w:vAlign w:val="center"/>
          </w:tcPr>
          <w:p w14:paraId="6DB3C4D5">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GD0812-01</w:t>
            </w:r>
          </w:p>
        </w:tc>
        <w:tc>
          <w:tcPr>
            <w:tcW w:w="2595" w:type="dxa"/>
            <w:shd w:val="clear" w:color="auto" w:fill="auto"/>
            <w:vAlign w:val="center"/>
          </w:tcPr>
          <w:p w14:paraId="2B975D2A">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一次性使用腹腔镜高频手术电极</w:t>
            </w:r>
          </w:p>
        </w:tc>
        <w:tc>
          <w:tcPr>
            <w:tcW w:w="4688" w:type="dxa"/>
            <w:shd w:val="clear" w:color="auto" w:fill="auto"/>
            <w:vAlign w:val="center"/>
          </w:tcPr>
          <w:p w14:paraId="08DA48D7">
            <w:pPr>
              <w:keepNext w:val="0"/>
              <w:keepLines w:val="0"/>
              <w:numPr>
                <w:ilvl w:val="0"/>
                <w:numId w:val="1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用于腹腔镜手术中对人体组织进行切割、凝血、抓取等；</w:t>
            </w:r>
          </w:p>
          <w:p w14:paraId="3B3B055F">
            <w:pPr>
              <w:keepNext w:val="0"/>
              <w:keepLines w:val="0"/>
              <w:numPr>
                <w:ilvl w:val="0"/>
                <w:numId w:val="1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钳头最大张开幅度≥57°；</w:t>
            </w:r>
          </w:p>
          <w:p w14:paraId="289950BD">
            <w:pPr>
              <w:keepNext w:val="0"/>
              <w:keepLines w:val="0"/>
              <w:numPr>
                <w:ilvl w:val="0"/>
                <w:numId w:val="16"/>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器械工作部长度≥45cm。</w:t>
            </w:r>
          </w:p>
        </w:tc>
      </w:tr>
      <w:tr w14:paraId="5B51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1239" w:type="dxa"/>
            <w:shd w:val="clear" w:color="auto" w:fill="auto"/>
            <w:vAlign w:val="center"/>
          </w:tcPr>
          <w:p w14:paraId="5E9DDE1C">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GJ0812-01</w:t>
            </w:r>
          </w:p>
        </w:tc>
        <w:tc>
          <w:tcPr>
            <w:tcW w:w="2595" w:type="dxa"/>
            <w:shd w:val="clear" w:color="auto" w:fill="auto"/>
            <w:vAlign w:val="center"/>
          </w:tcPr>
          <w:p w14:paraId="4EB610E0">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全膝关节手术定位系统-下肢力线测量仪</w:t>
            </w:r>
          </w:p>
        </w:tc>
        <w:tc>
          <w:tcPr>
            <w:tcW w:w="4688" w:type="dxa"/>
            <w:shd w:val="clear" w:color="auto" w:fill="auto"/>
            <w:vAlign w:val="center"/>
          </w:tcPr>
          <w:p w14:paraId="23129FA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1、用于成人膝关节置换手术中测量患者下肢力线位置及截骨辅助定位；</w:t>
            </w:r>
          </w:p>
          <w:p w14:paraId="7CF5A98C">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2、电池续航时间不小于120分钟；</w:t>
            </w:r>
          </w:p>
          <w:p w14:paraId="6823969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3、内外翻角测量范围为：-15°～15°，前后倾角测量范围为：-15°～15°；</w:t>
            </w:r>
          </w:p>
          <w:p w14:paraId="1D1DD45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4、测试角度精度：≤±1.5°，配套工具角度调整精度：±1°。</w:t>
            </w:r>
          </w:p>
        </w:tc>
      </w:tr>
      <w:tr w14:paraId="5498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1239" w:type="dxa"/>
            <w:shd w:val="clear" w:color="auto" w:fill="auto"/>
            <w:vAlign w:val="center"/>
          </w:tcPr>
          <w:p w14:paraId="150785E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TT0812-01</w:t>
            </w:r>
          </w:p>
        </w:tc>
        <w:tc>
          <w:tcPr>
            <w:tcW w:w="2595" w:type="dxa"/>
            <w:shd w:val="clear" w:color="auto" w:fill="auto"/>
            <w:vAlign w:val="center"/>
          </w:tcPr>
          <w:p w14:paraId="4310AEAE">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植入式给药装置</w:t>
            </w:r>
          </w:p>
        </w:tc>
        <w:tc>
          <w:tcPr>
            <w:tcW w:w="4688" w:type="dxa"/>
            <w:shd w:val="clear" w:color="auto" w:fill="auto"/>
            <w:vAlign w:val="center"/>
          </w:tcPr>
          <w:p w14:paraId="4BC00C2B">
            <w:pPr>
              <w:keepNext w:val="0"/>
              <w:keepLines w:val="0"/>
              <w:numPr>
                <w:ilvl w:val="0"/>
                <w:numId w:val="17"/>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用于鞘内镇痛；</w:t>
            </w:r>
          </w:p>
          <w:p w14:paraId="32903778">
            <w:pPr>
              <w:keepNext w:val="0"/>
              <w:keepLines w:val="0"/>
              <w:numPr>
                <w:ilvl w:val="0"/>
                <w:numId w:val="17"/>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由导管、港体、导管锁等组成；</w:t>
            </w:r>
          </w:p>
          <w:p w14:paraId="50A32311">
            <w:pPr>
              <w:keepNext w:val="0"/>
              <w:keepLines w:val="0"/>
              <w:numPr>
                <w:ilvl w:val="0"/>
                <w:numId w:val="17"/>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导管：硅胶材质，要求管子头端圆润，不会因位置变化刺激；</w:t>
            </w:r>
          </w:p>
          <w:p w14:paraId="76798E53">
            <w:pPr>
              <w:keepNext w:val="0"/>
              <w:keepLines w:val="0"/>
              <w:numPr>
                <w:ilvl w:val="0"/>
                <w:numId w:val="17"/>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导管：内径≥0.76mm，外径≥1.6mm；</w:t>
            </w:r>
          </w:p>
          <w:p w14:paraId="2F4D9D5F">
            <w:pPr>
              <w:keepNext w:val="0"/>
              <w:keepLines w:val="0"/>
              <w:numPr>
                <w:ilvl w:val="0"/>
                <w:numId w:val="17"/>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港体：基底和侧壁采用聚砜材料；</w:t>
            </w:r>
          </w:p>
          <w:p w14:paraId="0A21D036">
            <w:pPr>
              <w:keepNext w:val="0"/>
              <w:keepLines w:val="0"/>
              <w:numPr>
                <w:ilvl w:val="0"/>
                <w:numId w:val="17"/>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导管锁：具有螺纹自锁系统；</w:t>
            </w:r>
          </w:p>
        </w:tc>
      </w:tr>
      <w:tr w14:paraId="2D46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9" w:type="dxa"/>
            <w:shd w:val="clear" w:color="auto" w:fill="auto"/>
            <w:vAlign w:val="center"/>
          </w:tcPr>
          <w:p w14:paraId="3107E4C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AM0812-01</w:t>
            </w:r>
          </w:p>
        </w:tc>
        <w:tc>
          <w:tcPr>
            <w:tcW w:w="2595" w:type="dxa"/>
            <w:shd w:val="clear" w:color="auto" w:fill="auto"/>
            <w:vAlign w:val="center"/>
          </w:tcPr>
          <w:p w14:paraId="18337DA7">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特殊材料贴敷（远红外平喘止咳贴、远红外活络止痛贴、远红外小儿保脐贴、远红外行气通便贴、远红外乳腺增生贴）</w:t>
            </w:r>
          </w:p>
        </w:tc>
        <w:tc>
          <w:tcPr>
            <w:tcW w:w="4688" w:type="dxa"/>
            <w:shd w:val="clear" w:color="auto" w:fill="auto"/>
            <w:vAlign w:val="center"/>
          </w:tcPr>
          <w:p w14:paraId="60BEE364">
            <w:pPr>
              <w:keepNext w:val="0"/>
              <w:keepLines w:val="0"/>
              <w:numPr>
                <w:ilvl w:val="0"/>
                <w:numId w:val="18"/>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用于平喘止咳，活络止痛，小儿保脐，行气通便，乳腺增生等 </w:t>
            </w:r>
          </w:p>
          <w:p w14:paraId="66B7775B">
            <w:pPr>
              <w:keepNext w:val="0"/>
              <w:keepLines w:val="0"/>
              <w:numPr>
                <w:ilvl w:val="0"/>
                <w:numId w:val="18"/>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纳米红外材料；</w:t>
            </w:r>
          </w:p>
          <w:p w14:paraId="52F851D7">
            <w:pPr>
              <w:keepNext w:val="0"/>
              <w:keepLines w:val="0"/>
              <w:numPr>
                <w:ilvl w:val="0"/>
                <w:numId w:val="18"/>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远红外波长范围8μm～15μm；</w:t>
            </w:r>
          </w:p>
          <w:p w14:paraId="78661D1C">
            <w:pPr>
              <w:keepNext w:val="0"/>
              <w:keepLines w:val="0"/>
              <w:numPr>
                <w:ilvl w:val="0"/>
                <w:numId w:val="18"/>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发射率≥80%</w:t>
            </w:r>
          </w:p>
        </w:tc>
      </w:tr>
      <w:tr w14:paraId="5BB0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239" w:type="dxa"/>
            <w:shd w:val="clear" w:color="auto" w:fill="auto"/>
            <w:vAlign w:val="center"/>
          </w:tcPr>
          <w:p w14:paraId="6DC39BB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8</w:t>
            </w:r>
          </w:p>
        </w:tc>
        <w:tc>
          <w:tcPr>
            <w:tcW w:w="2595" w:type="dxa"/>
            <w:shd w:val="clear" w:color="auto" w:fill="auto"/>
            <w:vAlign w:val="center"/>
          </w:tcPr>
          <w:p w14:paraId="3EB65710">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人工神经鞘管</w:t>
            </w:r>
          </w:p>
        </w:tc>
        <w:tc>
          <w:tcPr>
            <w:tcW w:w="4688" w:type="dxa"/>
            <w:shd w:val="clear" w:color="auto" w:fill="auto"/>
            <w:vAlign w:val="center"/>
          </w:tcPr>
          <w:p w14:paraId="0B256AD2">
            <w:pPr>
              <w:keepNext w:val="0"/>
              <w:keepLines w:val="0"/>
              <w:numPr>
                <w:ilvl w:val="0"/>
                <w:numId w:val="19"/>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用于健侧颈7神经移位术后的神经修复；</w:t>
            </w:r>
          </w:p>
          <w:p w14:paraId="7C58FAF7">
            <w:pPr>
              <w:keepNext w:val="0"/>
              <w:keepLines w:val="0"/>
              <w:numPr>
                <w:ilvl w:val="0"/>
                <w:numId w:val="19"/>
              </w:numPr>
              <w:suppressLineNumbers w:val="0"/>
              <w:spacing w:beforeAutospacing="0" w:afterAutospacing="0"/>
              <w:ind w:left="0" w:leftChars="0" w:right="0" w:righ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材质：牛肌腱，经加工制成海绵状胶原鞘管；3、直径：2～5mm，长度为10～30mm；</w:t>
            </w:r>
          </w:p>
          <w:p w14:paraId="7224D152">
            <w:pPr>
              <w:keepNext w:val="0"/>
              <w:keepLines w:val="0"/>
              <w:numPr>
                <w:ilvl w:val="0"/>
                <w:numId w:val="0"/>
              </w:numPr>
              <w:suppressLineNumbers w:val="0"/>
              <w:spacing w:beforeAutospacing="0" w:afterAutospacing="0"/>
              <w:ind w:leftChars="0" w:right="0" w:rightChars="0"/>
              <w:jc w:val="left"/>
              <w:rPr>
                <w:rFonts w:hint="eastAsia" w:ascii="宋体"/>
                <w:color w:val="000000"/>
                <w:sz w:val="24"/>
                <w:highlight w:val="none"/>
                <w:lang w:val="en-US" w:eastAsia="zh-CN"/>
              </w:rPr>
            </w:pPr>
            <w:r>
              <w:rPr>
                <w:rFonts w:hint="eastAsia" w:ascii="宋体" w:hAnsi="宋体" w:eastAsia="宋体" w:cs="宋体"/>
                <w:sz w:val="21"/>
                <w:szCs w:val="21"/>
                <w:highlight w:val="none"/>
                <w:lang w:val="en-US" w:eastAsia="zh-CN"/>
              </w:rPr>
              <w:t>4、经环氧乙烷灭菌，一次性使用；</w:t>
            </w:r>
          </w:p>
          <w:p w14:paraId="26DB4208">
            <w:pPr>
              <w:keepNext w:val="0"/>
              <w:keepLines w:val="0"/>
              <w:numPr>
                <w:ilvl w:val="0"/>
                <w:numId w:val="0"/>
              </w:numPr>
              <w:suppressLineNumbers w:val="0"/>
              <w:spacing w:beforeAutospacing="0" w:afterAutospacing="0"/>
              <w:ind w:leftChars="0" w:right="0" w:rightChars="0"/>
              <w:jc w:val="left"/>
              <w:rPr>
                <w:rFonts w:hint="eastAsia" w:ascii="宋体"/>
                <w:color w:val="000000"/>
                <w:sz w:val="24"/>
                <w:highlight w:val="none"/>
                <w:lang w:val="en-US" w:eastAsia="zh-CN"/>
              </w:rPr>
            </w:pPr>
            <w:r>
              <w:rPr>
                <w:rFonts w:hint="eastAsia" w:ascii="宋体" w:hAnsi="宋体" w:eastAsia="宋体" w:cs="宋体"/>
                <w:sz w:val="21"/>
                <w:szCs w:val="21"/>
                <w:highlight w:val="none"/>
                <w:lang w:val="en-US" w:eastAsia="zh-CN"/>
              </w:rPr>
              <w:t>5、3～6个月完全降解吸收，降解产物为氨基酸和水。</w:t>
            </w:r>
          </w:p>
        </w:tc>
      </w:tr>
      <w:tr w14:paraId="4CCE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239" w:type="dxa"/>
            <w:shd w:val="clear" w:color="auto" w:fill="auto"/>
            <w:vAlign w:val="center"/>
          </w:tcPr>
          <w:p w14:paraId="3B34FF77">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9</w:t>
            </w:r>
          </w:p>
        </w:tc>
        <w:tc>
          <w:tcPr>
            <w:tcW w:w="2595" w:type="dxa"/>
            <w:shd w:val="clear" w:color="auto" w:fill="auto"/>
            <w:vAlign w:val="center"/>
          </w:tcPr>
          <w:p w14:paraId="15A4C774">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多功能手术解剖器（消融电极）</w:t>
            </w:r>
          </w:p>
        </w:tc>
        <w:tc>
          <w:tcPr>
            <w:tcW w:w="4688" w:type="dxa"/>
            <w:shd w:val="clear" w:color="auto" w:fill="auto"/>
            <w:vAlign w:val="center"/>
          </w:tcPr>
          <w:p w14:paraId="71F268CC">
            <w:pPr>
              <w:keepNext w:val="0"/>
              <w:keepLines w:val="0"/>
              <w:numPr>
                <w:ilvl w:val="0"/>
                <w:numId w:val="20"/>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用于垂体瘤及所有神经内镜微创手术中的止血和吸引；</w:t>
            </w:r>
          </w:p>
          <w:p w14:paraId="22B7FEA3">
            <w:pPr>
              <w:keepNext w:val="0"/>
              <w:keepLines w:val="0"/>
              <w:numPr>
                <w:ilvl w:val="0"/>
                <w:numId w:val="20"/>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双极采用同轴设计；</w:t>
            </w:r>
          </w:p>
          <w:p w14:paraId="453D614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3、工作部位前端可折弯；</w:t>
            </w:r>
          </w:p>
          <w:p w14:paraId="786DFDC9">
            <w:pPr>
              <w:keepNext w:val="0"/>
              <w:keepLines w:val="0"/>
              <w:suppressLineNumbers w:val="0"/>
              <w:spacing w:beforeAutospacing="0" w:afterAutospacing="0"/>
              <w:jc w:val="left"/>
              <w:rPr>
                <w:rFonts w:hint="eastAsia"/>
                <w:highlight w:val="none"/>
                <w:lang w:val="en-US" w:eastAsia="zh-CN"/>
              </w:rPr>
            </w:pPr>
            <w:r>
              <w:rPr>
                <w:rFonts w:hint="eastAsia" w:ascii="宋体" w:hAnsi="宋体" w:eastAsia="宋体" w:cs="宋体"/>
                <w:sz w:val="21"/>
                <w:szCs w:val="21"/>
                <w:highlight w:val="none"/>
                <w:lang w:val="en-US" w:eastAsia="zh-CN"/>
              </w:rPr>
              <w:t>4、头部表面粗糙度数值≤0.8μm。</w:t>
            </w:r>
          </w:p>
        </w:tc>
      </w:tr>
    </w:tbl>
    <w:p w14:paraId="6A77C681">
      <w:pPr>
        <w:spacing w:line="320" w:lineRule="exact"/>
        <w:rPr>
          <w:rFonts w:hint="eastAsia" w:ascii="宋体" w:hAnsi="宋体" w:cs="宋体"/>
          <w:sz w:val="28"/>
          <w:szCs w:val="28"/>
          <w:lang w:val="en-US" w:eastAsia="zh-CN"/>
        </w:rPr>
      </w:pPr>
    </w:p>
    <w:p w14:paraId="1B23E9AF">
      <w:pPr>
        <w:spacing w:line="320" w:lineRule="exact"/>
        <w:rPr>
          <w:rFonts w:hint="eastAsia" w:ascii="宋体" w:hAnsi="宋体" w:cs="宋体"/>
          <w:sz w:val="28"/>
          <w:szCs w:val="28"/>
          <w:lang w:val="en-US" w:eastAsia="zh-CN"/>
        </w:rPr>
      </w:pPr>
    </w:p>
    <w:p w14:paraId="42AF89CD">
      <w:pPr>
        <w:spacing w:line="420" w:lineRule="exact"/>
        <w:jc w:val="both"/>
        <w:rPr>
          <w:rFonts w:ascii="宋体" w:hAnsi="宋体" w:cs="宋体"/>
          <w:sz w:val="28"/>
          <w:szCs w:val="28"/>
        </w:rPr>
      </w:pPr>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39A5233A">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56470B4B">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3"/>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7"/>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7"/>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7"/>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7"/>
              <w:keepNext w:val="0"/>
              <w:keepLines w:val="0"/>
              <w:suppressLineNumbers w:val="0"/>
              <w:spacing w:before="17" w:beforeAutospacing="0" w:afterAutospacing="0"/>
              <w:ind w:left="12"/>
              <w:jc w:val="center"/>
              <w:rPr>
                <w:rFonts w:hint="eastAsia" w:ascii="宋体" w:eastAsia="宋体"/>
                <w:b/>
                <w:sz w:val="24"/>
              </w:rPr>
            </w:pPr>
          </w:p>
          <w:p w14:paraId="7B0F1D9E">
            <w:pPr>
              <w:pStyle w:val="17"/>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7"/>
              <w:keepNext w:val="0"/>
              <w:keepLines w:val="0"/>
              <w:suppressLineNumbers w:val="0"/>
              <w:spacing w:beforeAutospacing="0" w:afterAutospacing="0"/>
              <w:rPr>
                <w:rFonts w:hint="default" w:ascii="Times New Roman"/>
                <w:sz w:val="20"/>
              </w:rPr>
            </w:pPr>
          </w:p>
        </w:tc>
        <w:tc>
          <w:tcPr>
            <w:tcW w:w="1527" w:type="dxa"/>
          </w:tcPr>
          <w:p w14:paraId="6A61E505">
            <w:pPr>
              <w:pStyle w:val="17"/>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7"/>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7"/>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7"/>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7"/>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7"/>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7"/>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7"/>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7"/>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7"/>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7"/>
              <w:keepNext w:val="0"/>
              <w:keepLines w:val="0"/>
              <w:suppressLineNumbers w:val="0"/>
              <w:spacing w:before="10" w:beforeAutospacing="0" w:afterAutospacing="0"/>
              <w:rPr>
                <w:rFonts w:hint="default" w:ascii="宋体"/>
                <w:b/>
                <w:sz w:val="18"/>
              </w:rPr>
            </w:pPr>
          </w:p>
          <w:p w14:paraId="251DCD19">
            <w:pPr>
              <w:pStyle w:val="17"/>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7"/>
              <w:keepNext w:val="0"/>
              <w:keepLines w:val="0"/>
              <w:suppressLineNumbers w:val="0"/>
              <w:spacing w:beforeAutospacing="0" w:afterAutospacing="0"/>
              <w:jc w:val="center"/>
              <w:rPr>
                <w:rFonts w:hint="default" w:ascii="Times New Roman"/>
                <w:sz w:val="20"/>
              </w:rPr>
            </w:pPr>
          </w:p>
        </w:tc>
        <w:tc>
          <w:tcPr>
            <w:tcW w:w="2550" w:type="dxa"/>
          </w:tcPr>
          <w:p w14:paraId="2FCD3B26">
            <w:pPr>
              <w:pStyle w:val="17"/>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7"/>
              <w:keepNext w:val="0"/>
              <w:keepLines w:val="0"/>
              <w:suppressLineNumbers w:val="0"/>
              <w:spacing w:beforeAutospacing="0" w:afterAutospacing="0"/>
              <w:rPr>
                <w:rFonts w:hint="default" w:ascii="Times New Roman"/>
                <w:sz w:val="20"/>
              </w:rPr>
            </w:pPr>
          </w:p>
        </w:tc>
        <w:tc>
          <w:tcPr>
            <w:tcW w:w="2550" w:type="dxa"/>
          </w:tcPr>
          <w:p w14:paraId="77AA479D">
            <w:pPr>
              <w:pStyle w:val="17"/>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7"/>
              <w:keepNext w:val="0"/>
              <w:keepLines w:val="0"/>
              <w:suppressLineNumbers w:val="0"/>
              <w:spacing w:beforeAutospacing="0" w:afterAutospacing="0"/>
              <w:rPr>
                <w:rFonts w:hint="default" w:ascii="Times New Roman"/>
                <w:sz w:val="20"/>
              </w:rPr>
            </w:pPr>
          </w:p>
        </w:tc>
        <w:tc>
          <w:tcPr>
            <w:tcW w:w="2550" w:type="dxa"/>
          </w:tcPr>
          <w:p w14:paraId="434A1FBB">
            <w:pPr>
              <w:pStyle w:val="17"/>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7"/>
              <w:keepNext w:val="0"/>
              <w:keepLines w:val="0"/>
              <w:suppressLineNumbers w:val="0"/>
              <w:spacing w:before="10" w:beforeAutospacing="0" w:afterAutospacing="0"/>
              <w:rPr>
                <w:rFonts w:hint="default" w:ascii="宋体"/>
                <w:b/>
                <w:sz w:val="18"/>
              </w:rPr>
            </w:pPr>
          </w:p>
          <w:p w14:paraId="3D8A85D8">
            <w:pPr>
              <w:pStyle w:val="17"/>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7"/>
              <w:keepNext w:val="0"/>
              <w:keepLines w:val="0"/>
              <w:suppressLineNumbers w:val="0"/>
              <w:spacing w:beforeAutospacing="0" w:afterAutospacing="0"/>
              <w:rPr>
                <w:rFonts w:hint="default" w:ascii="Times New Roman"/>
                <w:sz w:val="20"/>
              </w:rPr>
            </w:pPr>
          </w:p>
        </w:tc>
        <w:tc>
          <w:tcPr>
            <w:tcW w:w="2550" w:type="dxa"/>
          </w:tcPr>
          <w:p w14:paraId="0648A38B">
            <w:pPr>
              <w:pStyle w:val="17"/>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7"/>
              <w:keepNext w:val="0"/>
              <w:keepLines w:val="0"/>
              <w:suppressLineNumbers w:val="0"/>
              <w:spacing w:beforeAutospacing="0" w:afterAutospacing="0"/>
              <w:rPr>
                <w:rFonts w:hint="default" w:ascii="Times New Roman"/>
                <w:sz w:val="20"/>
              </w:rPr>
            </w:pPr>
          </w:p>
        </w:tc>
        <w:tc>
          <w:tcPr>
            <w:tcW w:w="2550" w:type="dxa"/>
          </w:tcPr>
          <w:p w14:paraId="35CD5D08">
            <w:pPr>
              <w:pStyle w:val="17"/>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7"/>
              <w:keepNext w:val="0"/>
              <w:keepLines w:val="0"/>
              <w:suppressLineNumbers w:val="0"/>
              <w:spacing w:beforeAutospacing="0" w:afterAutospacing="0"/>
              <w:rPr>
                <w:rFonts w:hint="default" w:ascii="Times New Roman"/>
                <w:sz w:val="20"/>
              </w:rPr>
            </w:pPr>
          </w:p>
        </w:tc>
        <w:tc>
          <w:tcPr>
            <w:tcW w:w="2550" w:type="dxa"/>
          </w:tcPr>
          <w:p w14:paraId="6D0F5030">
            <w:pPr>
              <w:pStyle w:val="17"/>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7"/>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7"/>
              <w:keepNext w:val="0"/>
              <w:keepLines w:val="0"/>
              <w:suppressLineNumbers w:val="0"/>
              <w:spacing w:beforeAutospacing="0" w:afterAutospacing="0"/>
              <w:rPr>
                <w:rFonts w:hint="default" w:ascii="Times New Roman"/>
                <w:sz w:val="20"/>
              </w:rPr>
            </w:pPr>
          </w:p>
        </w:tc>
        <w:tc>
          <w:tcPr>
            <w:tcW w:w="2550" w:type="dxa"/>
          </w:tcPr>
          <w:p w14:paraId="74E2C3DE">
            <w:pPr>
              <w:pStyle w:val="17"/>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7"/>
              <w:keepNext w:val="0"/>
              <w:keepLines w:val="0"/>
              <w:suppressLineNumbers w:val="0"/>
              <w:spacing w:beforeAutospacing="0" w:afterAutospacing="0"/>
              <w:rPr>
                <w:rFonts w:hint="default" w:ascii="Times New Roman"/>
                <w:sz w:val="20"/>
              </w:rPr>
            </w:pPr>
          </w:p>
        </w:tc>
        <w:tc>
          <w:tcPr>
            <w:tcW w:w="2550" w:type="dxa"/>
          </w:tcPr>
          <w:p w14:paraId="25E7A8C3">
            <w:pPr>
              <w:pStyle w:val="17"/>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7"/>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7"/>
              <w:keepNext w:val="0"/>
              <w:keepLines w:val="0"/>
              <w:suppressLineNumbers w:val="0"/>
              <w:spacing w:beforeAutospacing="0" w:afterAutospacing="0"/>
              <w:rPr>
                <w:rFonts w:hint="default" w:ascii="Times New Roman"/>
                <w:sz w:val="20"/>
              </w:rPr>
            </w:pPr>
          </w:p>
        </w:tc>
        <w:tc>
          <w:tcPr>
            <w:tcW w:w="2550" w:type="dxa"/>
          </w:tcPr>
          <w:p w14:paraId="47DE8F69">
            <w:pPr>
              <w:pStyle w:val="17"/>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7"/>
              <w:keepNext w:val="0"/>
              <w:keepLines w:val="0"/>
              <w:suppressLineNumbers w:val="0"/>
              <w:spacing w:before="11" w:beforeAutospacing="0" w:afterAutospacing="0"/>
              <w:rPr>
                <w:rFonts w:hint="default" w:ascii="宋体"/>
                <w:b/>
                <w:sz w:val="18"/>
              </w:rPr>
            </w:pPr>
          </w:p>
          <w:p w14:paraId="33A1B0E5">
            <w:pPr>
              <w:pStyle w:val="17"/>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7"/>
              <w:keepNext w:val="0"/>
              <w:keepLines w:val="0"/>
              <w:suppressLineNumbers w:val="0"/>
              <w:spacing w:beforeAutospacing="0" w:afterAutospacing="0"/>
              <w:rPr>
                <w:rFonts w:hint="default" w:ascii="Times New Roman"/>
                <w:sz w:val="20"/>
              </w:rPr>
            </w:pPr>
          </w:p>
        </w:tc>
        <w:tc>
          <w:tcPr>
            <w:tcW w:w="2550" w:type="dxa"/>
          </w:tcPr>
          <w:p w14:paraId="73626B38">
            <w:pPr>
              <w:pStyle w:val="17"/>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7"/>
              <w:keepNext w:val="0"/>
              <w:keepLines w:val="0"/>
              <w:suppressLineNumbers w:val="0"/>
              <w:spacing w:beforeAutospacing="0" w:afterAutospacing="0"/>
              <w:rPr>
                <w:rFonts w:hint="default" w:ascii="Times New Roman"/>
                <w:sz w:val="20"/>
              </w:rPr>
            </w:pPr>
          </w:p>
        </w:tc>
        <w:tc>
          <w:tcPr>
            <w:tcW w:w="2550" w:type="dxa"/>
          </w:tcPr>
          <w:p w14:paraId="4BD7D1A3">
            <w:pPr>
              <w:pStyle w:val="17"/>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7"/>
              <w:keepNext w:val="0"/>
              <w:keepLines w:val="0"/>
              <w:suppressLineNumbers w:val="0"/>
              <w:spacing w:beforeAutospacing="0" w:afterAutospacing="0"/>
              <w:rPr>
                <w:rFonts w:hint="default" w:ascii="Times New Roman"/>
                <w:sz w:val="20"/>
              </w:rPr>
            </w:pPr>
          </w:p>
        </w:tc>
        <w:tc>
          <w:tcPr>
            <w:tcW w:w="2550" w:type="dxa"/>
          </w:tcPr>
          <w:p w14:paraId="19661EBC">
            <w:pPr>
              <w:pStyle w:val="17"/>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7"/>
              <w:keepNext w:val="0"/>
              <w:keepLines w:val="0"/>
              <w:suppressLineNumbers w:val="0"/>
              <w:spacing w:beforeAutospacing="0" w:afterAutospacing="0"/>
              <w:rPr>
                <w:rFonts w:hint="default" w:ascii="宋体"/>
                <w:b/>
                <w:sz w:val="24"/>
              </w:rPr>
            </w:pPr>
          </w:p>
          <w:p w14:paraId="1329D17B">
            <w:pPr>
              <w:pStyle w:val="17"/>
              <w:keepNext w:val="0"/>
              <w:keepLines w:val="0"/>
              <w:suppressLineNumbers w:val="0"/>
              <w:spacing w:before="3" w:beforeAutospacing="0" w:afterAutospacing="0"/>
              <w:rPr>
                <w:rFonts w:hint="default" w:ascii="宋体"/>
                <w:b/>
                <w:sz w:val="21"/>
              </w:rPr>
            </w:pPr>
          </w:p>
          <w:p w14:paraId="31BB06A3">
            <w:pPr>
              <w:pStyle w:val="17"/>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7"/>
              <w:keepNext w:val="0"/>
              <w:keepLines w:val="0"/>
              <w:suppressLineNumbers w:val="0"/>
              <w:spacing w:beforeAutospacing="0" w:afterAutospacing="0"/>
              <w:rPr>
                <w:rFonts w:hint="default" w:ascii="Times New Roman"/>
                <w:sz w:val="20"/>
              </w:rPr>
            </w:pPr>
          </w:p>
        </w:tc>
        <w:tc>
          <w:tcPr>
            <w:tcW w:w="2550" w:type="dxa"/>
          </w:tcPr>
          <w:p w14:paraId="514A43AE">
            <w:pPr>
              <w:pStyle w:val="17"/>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7"/>
              <w:keepNext w:val="0"/>
              <w:keepLines w:val="0"/>
              <w:suppressLineNumbers w:val="0"/>
              <w:spacing w:beforeAutospacing="0" w:afterAutospacing="0"/>
              <w:rPr>
                <w:rFonts w:hint="default" w:ascii="Times New Roman"/>
                <w:sz w:val="20"/>
              </w:rPr>
            </w:pPr>
          </w:p>
        </w:tc>
        <w:tc>
          <w:tcPr>
            <w:tcW w:w="2550" w:type="dxa"/>
          </w:tcPr>
          <w:p w14:paraId="52C9235F">
            <w:pPr>
              <w:pStyle w:val="17"/>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7"/>
              <w:keepNext w:val="0"/>
              <w:keepLines w:val="0"/>
              <w:suppressLineNumbers w:val="0"/>
              <w:spacing w:beforeAutospacing="0" w:afterAutospacing="0"/>
              <w:rPr>
                <w:rFonts w:hint="default" w:ascii="Times New Roman"/>
                <w:sz w:val="20"/>
              </w:rPr>
            </w:pPr>
          </w:p>
        </w:tc>
        <w:tc>
          <w:tcPr>
            <w:tcW w:w="2550" w:type="dxa"/>
          </w:tcPr>
          <w:p w14:paraId="7F875197">
            <w:pPr>
              <w:pStyle w:val="17"/>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7"/>
              <w:keepNext w:val="0"/>
              <w:keepLines w:val="0"/>
              <w:suppressLineNumbers w:val="0"/>
              <w:spacing w:beforeAutospacing="0" w:afterAutospacing="0"/>
              <w:rPr>
                <w:rFonts w:hint="default" w:ascii="Times New Roman"/>
                <w:sz w:val="20"/>
              </w:rPr>
            </w:pPr>
          </w:p>
        </w:tc>
        <w:tc>
          <w:tcPr>
            <w:tcW w:w="2550" w:type="dxa"/>
          </w:tcPr>
          <w:p w14:paraId="31B5337A">
            <w:pPr>
              <w:pStyle w:val="17"/>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vAlign w:val="center"/>
          </w:tcPr>
          <w:p w14:paraId="60935FEA">
            <w:pPr>
              <w:pStyle w:val="17"/>
              <w:keepNext w:val="0"/>
              <w:keepLines w:val="0"/>
              <w:suppressLineNumbers w:val="0"/>
              <w:spacing w:before="58" w:beforeAutospacing="0" w:afterAutospacing="0"/>
              <w:ind w:left="20"/>
              <w:jc w:val="center"/>
              <w:rPr>
                <w:rFonts w:hint="eastAsia" w:ascii="宋体" w:eastAsia="宋体"/>
                <w:sz w:val="20"/>
                <w:lang w:val="en-US" w:eastAsia="zh-CN"/>
              </w:rPr>
            </w:pPr>
            <w:r>
              <w:rPr>
                <w:rFonts w:hint="eastAsia" w:ascii="宋体" w:eastAsia="宋体"/>
                <w:sz w:val="20"/>
              </w:rPr>
              <w:t>现行价格证明</w:t>
            </w:r>
          </w:p>
        </w:tc>
        <w:tc>
          <w:tcPr>
            <w:tcW w:w="3251" w:type="dxa"/>
            <w:gridSpan w:val="3"/>
          </w:tcPr>
          <w:p w14:paraId="48FBF096">
            <w:pPr>
              <w:pStyle w:val="17"/>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7"/>
              <w:keepNext w:val="0"/>
              <w:keepLines w:val="0"/>
              <w:suppressLineNumbers w:val="0"/>
              <w:spacing w:beforeAutospacing="0" w:afterAutospacing="0"/>
              <w:rPr>
                <w:rFonts w:hint="default" w:ascii="Times New Roman"/>
                <w:sz w:val="20"/>
              </w:rPr>
            </w:pPr>
          </w:p>
        </w:tc>
        <w:tc>
          <w:tcPr>
            <w:tcW w:w="2550" w:type="dxa"/>
          </w:tcPr>
          <w:p w14:paraId="522E7635">
            <w:pPr>
              <w:pStyle w:val="17"/>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7"/>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7"/>
              <w:keepNext w:val="0"/>
              <w:keepLines w:val="0"/>
              <w:suppressLineNumbers w:val="0"/>
              <w:spacing w:beforeAutospacing="0" w:afterAutospacing="0"/>
              <w:rPr>
                <w:rFonts w:hint="default" w:ascii="Times New Roman"/>
                <w:sz w:val="20"/>
              </w:rPr>
            </w:pPr>
          </w:p>
        </w:tc>
        <w:tc>
          <w:tcPr>
            <w:tcW w:w="2550" w:type="dxa"/>
          </w:tcPr>
          <w:p w14:paraId="410A0AE4">
            <w:pPr>
              <w:pStyle w:val="17"/>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7"/>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7"/>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7"/>
              <w:keepNext w:val="0"/>
              <w:keepLines w:val="0"/>
              <w:suppressLineNumbers w:val="0"/>
              <w:spacing w:beforeAutospacing="0" w:afterAutospacing="0"/>
              <w:rPr>
                <w:rFonts w:hint="default" w:ascii="Times New Roman"/>
                <w:sz w:val="20"/>
              </w:rPr>
            </w:pPr>
          </w:p>
        </w:tc>
        <w:tc>
          <w:tcPr>
            <w:tcW w:w="2550" w:type="dxa"/>
          </w:tcPr>
          <w:p w14:paraId="5260D776">
            <w:pPr>
              <w:pStyle w:val="17"/>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7"/>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7"/>
              <w:keepNext w:val="0"/>
              <w:keepLines w:val="0"/>
              <w:suppressLineNumbers w:val="0"/>
              <w:spacing w:beforeAutospacing="0" w:afterAutospacing="0"/>
              <w:rPr>
                <w:rFonts w:hint="default" w:ascii="Times New Roman"/>
                <w:sz w:val="20"/>
              </w:rPr>
            </w:pPr>
          </w:p>
        </w:tc>
        <w:tc>
          <w:tcPr>
            <w:tcW w:w="2550" w:type="dxa"/>
          </w:tcPr>
          <w:p w14:paraId="4FC08AEB">
            <w:pPr>
              <w:pStyle w:val="17"/>
              <w:keepNext w:val="0"/>
              <w:keepLines w:val="0"/>
              <w:suppressLineNumbers w:val="0"/>
              <w:spacing w:beforeAutospacing="0" w:afterAutospacing="0"/>
              <w:rPr>
                <w:rFonts w:hint="default" w:ascii="Times New Roman"/>
                <w:sz w:val="20"/>
              </w:rPr>
            </w:pPr>
          </w:p>
        </w:tc>
      </w:tr>
    </w:tbl>
    <w:p w14:paraId="0100444E">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3"/>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3"/>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21"/>
                <w:lang w:val="en-US" w:eastAsia="zh-CN" w:bidi="ar"/>
              </w:rPr>
              <w:t>耗材信息表</w:t>
            </w:r>
            <w:r>
              <w:rPr>
                <w:rStyle w:val="22"/>
                <w:lang w:val="en-US" w:eastAsia="zh-CN" w:bidi="ar"/>
              </w:rPr>
              <w:t>（</w:t>
            </w:r>
            <w:r>
              <w:rPr>
                <w:rStyle w:val="22"/>
                <w:rFonts w:hint="eastAsia"/>
                <w:lang w:val="en-US" w:eastAsia="zh-CN" w:bidi="ar"/>
              </w:rPr>
              <w:t>EXCL</w:t>
            </w:r>
            <w:r>
              <w:rPr>
                <w:rStyle w:val="22"/>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2646A"/>
    <w:multiLevelType w:val="singleLevel"/>
    <w:tmpl w:val="91F2646A"/>
    <w:lvl w:ilvl="0" w:tentative="0">
      <w:start w:val="1"/>
      <w:numFmt w:val="decimal"/>
      <w:suff w:val="nothing"/>
      <w:lvlText w:val="%1、"/>
      <w:lvlJc w:val="left"/>
    </w:lvl>
  </w:abstractNum>
  <w:abstractNum w:abstractNumId="1">
    <w:nsid w:val="959227B5"/>
    <w:multiLevelType w:val="singleLevel"/>
    <w:tmpl w:val="959227B5"/>
    <w:lvl w:ilvl="0" w:tentative="0">
      <w:start w:val="1"/>
      <w:numFmt w:val="decimal"/>
      <w:suff w:val="nothing"/>
      <w:lvlText w:val="%1、"/>
      <w:lvlJc w:val="left"/>
    </w:lvl>
  </w:abstractNum>
  <w:abstractNum w:abstractNumId="2">
    <w:nsid w:val="A74AE639"/>
    <w:multiLevelType w:val="singleLevel"/>
    <w:tmpl w:val="A74AE639"/>
    <w:lvl w:ilvl="0" w:tentative="0">
      <w:start w:val="1"/>
      <w:numFmt w:val="decimal"/>
      <w:suff w:val="nothing"/>
      <w:lvlText w:val="%1、"/>
      <w:lvlJc w:val="left"/>
    </w:lvl>
  </w:abstractNum>
  <w:abstractNum w:abstractNumId="3">
    <w:nsid w:val="A835EBFF"/>
    <w:multiLevelType w:val="singleLevel"/>
    <w:tmpl w:val="A835EBFF"/>
    <w:lvl w:ilvl="0" w:tentative="0">
      <w:start w:val="1"/>
      <w:numFmt w:val="decimal"/>
      <w:suff w:val="nothing"/>
      <w:lvlText w:val="%1、"/>
      <w:lvlJc w:val="left"/>
    </w:lvl>
  </w:abstractNum>
  <w:abstractNum w:abstractNumId="4">
    <w:nsid w:val="B5BDAC85"/>
    <w:multiLevelType w:val="singleLevel"/>
    <w:tmpl w:val="B5BDAC85"/>
    <w:lvl w:ilvl="0" w:tentative="0">
      <w:start w:val="1"/>
      <w:numFmt w:val="decimal"/>
      <w:suff w:val="nothing"/>
      <w:lvlText w:val="%1、"/>
      <w:lvlJc w:val="left"/>
    </w:lvl>
  </w:abstractNum>
  <w:abstractNum w:abstractNumId="5">
    <w:nsid w:val="B6EFC89D"/>
    <w:multiLevelType w:val="singleLevel"/>
    <w:tmpl w:val="B6EFC89D"/>
    <w:lvl w:ilvl="0" w:tentative="0">
      <w:start w:val="1"/>
      <w:numFmt w:val="decimal"/>
      <w:suff w:val="nothing"/>
      <w:lvlText w:val="%1、"/>
      <w:lvlJc w:val="left"/>
    </w:lvl>
  </w:abstractNum>
  <w:abstractNum w:abstractNumId="6">
    <w:nsid w:val="B7CA1ADE"/>
    <w:multiLevelType w:val="singleLevel"/>
    <w:tmpl w:val="B7CA1ADE"/>
    <w:lvl w:ilvl="0" w:tentative="0">
      <w:start w:val="1"/>
      <w:numFmt w:val="decimal"/>
      <w:suff w:val="nothing"/>
      <w:lvlText w:val="%1、"/>
      <w:lvlJc w:val="left"/>
    </w:lvl>
  </w:abstractNum>
  <w:abstractNum w:abstractNumId="7">
    <w:nsid w:val="BD912777"/>
    <w:multiLevelType w:val="singleLevel"/>
    <w:tmpl w:val="BD912777"/>
    <w:lvl w:ilvl="0" w:tentative="0">
      <w:start w:val="1"/>
      <w:numFmt w:val="decimal"/>
      <w:suff w:val="nothing"/>
      <w:lvlText w:val="%1、"/>
      <w:lvlJc w:val="left"/>
    </w:lvl>
  </w:abstractNum>
  <w:abstractNum w:abstractNumId="8">
    <w:nsid w:val="C0BFCB69"/>
    <w:multiLevelType w:val="singleLevel"/>
    <w:tmpl w:val="C0BFCB69"/>
    <w:lvl w:ilvl="0" w:tentative="0">
      <w:start w:val="1"/>
      <w:numFmt w:val="decimal"/>
      <w:suff w:val="nothing"/>
      <w:lvlText w:val="%1、"/>
      <w:lvlJc w:val="left"/>
    </w:lvl>
  </w:abstractNum>
  <w:abstractNum w:abstractNumId="9">
    <w:nsid w:val="C0C18FE0"/>
    <w:multiLevelType w:val="singleLevel"/>
    <w:tmpl w:val="C0C18FE0"/>
    <w:lvl w:ilvl="0" w:tentative="0">
      <w:start w:val="1"/>
      <w:numFmt w:val="decimal"/>
      <w:suff w:val="nothing"/>
      <w:lvlText w:val="%1、"/>
      <w:lvlJc w:val="left"/>
    </w:lvl>
  </w:abstractNum>
  <w:abstractNum w:abstractNumId="10">
    <w:nsid w:val="C2C74B64"/>
    <w:multiLevelType w:val="singleLevel"/>
    <w:tmpl w:val="C2C74B64"/>
    <w:lvl w:ilvl="0" w:tentative="0">
      <w:start w:val="1"/>
      <w:numFmt w:val="decimal"/>
      <w:suff w:val="nothing"/>
      <w:lvlText w:val="%1、"/>
      <w:lvlJc w:val="left"/>
    </w:lvl>
  </w:abstractNum>
  <w:abstractNum w:abstractNumId="11">
    <w:nsid w:val="DF14EB98"/>
    <w:multiLevelType w:val="singleLevel"/>
    <w:tmpl w:val="DF14EB98"/>
    <w:lvl w:ilvl="0" w:tentative="0">
      <w:start w:val="1"/>
      <w:numFmt w:val="decimal"/>
      <w:suff w:val="nothing"/>
      <w:lvlText w:val="%1、"/>
      <w:lvlJc w:val="left"/>
    </w:lvl>
  </w:abstractNum>
  <w:abstractNum w:abstractNumId="12">
    <w:nsid w:val="F4C65D0A"/>
    <w:multiLevelType w:val="singleLevel"/>
    <w:tmpl w:val="F4C65D0A"/>
    <w:lvl w:ilvl="0" w:tentative="0">
      <w:start w:val="1"/>
      <w:numFmt w:val="decimal"/>
      <w:suff w:val="nothing"/>
      <w:lvlText w:val="%1、"/>
      <w:lvlJc w:val="left"/>
    </w:lvl>
  </w:abstractNum>
  <w:abstractNum w:abstractNumId="13">
    <w:nsid w:val="FCB6D41F"/>
    <w:multiLevelType w:val="singleLevel"/>
    <w:tmpl w:val="FCB6D41F"/>
    <w:lvl w:ilvl="0" w:tentative="0">
      <w:start w:val="1"/>
      <w:numFmt w:val="decimal"/>
      <w:suff w:val="nothing"/>
      <w:lvlText w:val="%1、"/>
      <w:lvlJc w:val="left"/>
    </w:lvl>
  </w:abstractNum>
  <w:abstractNum w:abstractNumId="14">
    <w:nsid w:val="FDF2B88C"/>
    <w:multiLevelType w:val="singleLevel"/>
    <w:tmpl w:val="FDF2B88C"/>
    <w:lvl w:ilvl="0" w:tentative="0">
      <w:start w:val="1"/>
      <w:numFmt w:val="decimal"/>
      <w:suff w:val="nothing"/>
      <w:lvlText w:val="%1、"/>
      <w:lvlJc w:val="left"/>
    </w:lvl>
  </w:abstractNum>
  <w:abstractNum w:abstractNumId="15">
    <w:nsid w:val="00CB6FE7"/>
    <w:multiLevelType w:val="singleLevel"/>
    <w:tmpl w:val="00CB6FE7"/>
    <w:lvl w:ilvl="0" w:tentative="0">
      <w:start w:val="1"/>
      <w:numFmt w:val="decimal"/>
      <w:suff w:val="nothing"/>
      <w:lvlText w:val="%1、"/>
      <w:lvlJc w:val="left"/>
    </w:lvl>
  </w:abstractNum>
  <w:abstractNum w:abstractNumId="16">
    <w:nsid w:val="01246194"/>
    <w:multiLevelType w:val="singleLevel"/>
    <w:tmpl w:val="01246194"/>
    <w:lvl w:ilvl="0" w:tentative="0">
      <w:start w:val="1"/>
      <w:numFmt w:val="decimal"/>
      <w:suff w:val="nothing"/>
      <w:lvlText w:val="%1、"/>
      <w:lvlJc w:val="left"/>
    </w:lvl>
  </w:abstractNum>
  <w:abstractNum w:abstractNumId="17">
    <w:nsid w:val="25EA3FFF"/>
    <w:multiLevelType w:val="singleLevel"/>
    <w:tmpl w:val="25EA3FFF"/>
    <w:lvl w:ilvl="0" w:tentative="0">
      <w:start w:val="1"/>
      <w:numFmt w:val="decimal"/>
      <w:suff w:val="nothing"/>
      <w:lvlText w:val="%1、"/>
      <w:lvlJc w:val="left"/>
    </w:lvl>
  </w:abstractNum>
  <w:abstractNum w:abstractNumId="18">
    <w:nsid w:val="2D842FA5"/>
    <w:multiLevelType w:val="singleLevel"/>
    <w:tmpl w:val="2D842FA5"/>
    <w:lvl w:ilvl="0" w:tentative="0">
      <w:start w:val="1"/>
      <w:numFmt w:val="decimal"/>
      <w:suff w:val="nothing"/>
      <w:lvlText w:val="%1、"/>
      <w:lvlJc w:val="left"/>
    </w:lvl>
  </w:abstractNum>
  <w:abstractNum w:abstractNumId="19">
    <w:nsid w:val="2E1FF9E4"/>
    <w:multiLevelType w:val="singleLevel"/>
    <w:tmpl w:val="2E1FF9E4"/>
    <w:lvl w:ilvl="0" w:tentative="0">
      <w:start w:val="1"/>
      <w:numFmt w:val="decimal"/>
      <w:suff w:val="nothing"/>
      <w:lvlText w:val="%1、"/>
      <w:lvlJc w:val="left"/>
    </w:lvl>
  </w:abstractNum>
  <w:num w:numId="1">
    <w:abstractNumId w:val="6"/>
  </w:num>
  <w:num w:numId="2">
    <w:abstractNumId w:val="14"/>
  </w:num>
  <w:num w:numId="3">
    <w:abstractNumId w:val="0"/>
  </w:num>
  <w:num w:numId="4">
    <w:abstractNumId w:val="4"/>
  </w:num>
  <w:num w:numId="5">
    <w:abstractNumId w:val="1"/>
  </w:num>
  <w:num w:numId="6">
    <w:abstractNumId w:val="12"/>
  </w:num>
  <w:num w:numId="7">
    <w:abstractNumId w:val="17"/>
  </w:num>
  <w:num w:numId="8">
    <w:abstractNumId w:val="3"/>
  </w:num>
  <w:num w:numId="9">
    <w:abstractNumId w:val="7"/>
  </w:num>
  <w:num w:numId="10">
    <w:abstractNumId w:val="16"/>
  </w:num>
  <w:num w:numId="11">
    <w:abstractNumId w:val="8"/>
  </w:num>
  <w:num w:numId="12">
    <w:abstractNumId w:val="9"/>
  </w:num>
  <w:num w:numId="13">
    <w:abstractNumId w:val="13"/>
  </w:num>
  <w:num w:numId="14">
    <w:abstractNumId w:val="5"/>
  </w:num>
  <w:num w:numId="15">
    <w:abstractNumId w:val="19"/>
  </w:num>
  <w:num w:numId="16">
    <w:abstractNumId w:val="10"/>
  </w:num>
  <w:num w:numId="17">
    <w:abstractNumId w:val="2"/>
  </w:num>
  <w:num w:numId="18">
    <w:abstractNumId w:val="11"/>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4F482B"/>
    <w:rsid w:val="007F43BE"/>
    <w:rsid w:val="00D21829"/>
    <w:rsid w:val="00EE622B"/>
    <w:rsid w:val="01170C55"/>
    <w:rsid w:val="013B2B96"/>
    <w:rsid w:val="01576410"/>
    <w:rsid w:val="01763BCE"/>
    <w:rsid w:val="019F5854"/>
    <w:rsid w:val="01A530E7"/>
    <w:rsid w:val="01E67C0C"/>
    <w:rsid w:val="02022957"/>
    <w:rsid w:val="020E0B20"/>
    <w:rsid w:val="021718B9"/>
    <w:rsid w:val="02314318"/>
    <w:rsid w:val="024261A6"/>
    <w:rsid w:val="02AD7AC3"/>
    <w:rsid w:val="02E11D76"/>
    <w:rsid w:val="03293C05"/>
    <w:rsid w:val="032B03DE"/>
    <w:rsid w:val="035C1714"/>
    <w:rsid w:val="036E663B"/>
    <w:rsid w:val="037F443A"/>
    <w:rsid w:val="038D5330"/>
    <w:rsid w:val="038F541B"/>
    <w:rsid w:val="03965E35"/>
    <w:rsid w:val="03E365BC"/>
    <w:rsid w:val="03E9018B"/>
    <w:rsid w:val="04695606"/>
    <w:rsid w:val="04CF6570"/>
    <w:rsid w:val="04E05C53"/>
    <w:rsid w:val="04FC7471"/>
    <w:rsid w:val="050F5EDB"/>
    <w:rsid w:val="052523BA"/>
    <w:rsid w:val="052E55AF"/>
    <w:rsid w:val="05820C6C"/>
    <w:rsid w:val="058C0957"/>
    <w:rsid w:val="05974C44"/>
    <w:rsid w:val="05A6517E"/>
    <w:rsid w:val="066E35D7"/>
    <w:rsid w:val="06844750"/>
    <w:rsid w:val="06EB17D3"/>
    <w:rsid w:val="072F54F3"/>
    <w:rsid w:val="07307E53"/>
    <w:rsid w:val="07755D51"/>
    <w:rsid w:val="07CD02C0"/>
    <w:rsid w:val="07D0076C"/>
    <w:rsid w:val="07EF24A4"/>
    <w:rsid w:val="080A34DC"/>
    <w:rsid w:val="08242A95"/>
    <w:rsid w:val="083A7432"/>
    <w:rsid w:val="083E4D1A"/>
    <w:rsid w:val="08564759"/>
    <w:rsid w:val="08DD0238"/>
    <w:rsid w:val="08DE3754"/>
    <w:rsid w:val="09465165"/>
    <w:rsid w:val="09D839D5"/>
    <w:rsid w:val="09DC6848"/>
    <w:rsid w:val="0A03366B"/>
    <w:rsid w:val="0A280C1A"/>
    <w:rsid w:val="0A60416A"/>
    <w:rsid w:val="0A827D89"/>
    <w:rsid w:val="0AD160CF"/>
    <w:rsid w:val="0AF23140"/>
    <w:rsid w:val="0B286DCD"/>
    <w:rsid w:val="0B2B3F4F"/>
    <w:rsid w:val="0B735DE2"/>
    <w:rsid w:val="0B7F2E6D"/>
    <w:rsid w:val="0BFE4EEC"/>
    <w:rsid w:val="0C2A5CE1"/>
    <w:rsid w:val="0C476893"/>
    <w:rsid w:val="0C9A3DEB"/>
    <w:rsid w:val="0D052E70"/>
    <w:rsid w:val="0D8C4BF5"/>
    <w:rsid w:val="0D8E6743"/>
    <w:rsid w:val="0DB52EF3"/>
    <w:rsid w:val="0DE13D5E"/>
    <w:rsid w:val="0DEA1BCB"/>
    <w:rsid w:val="0E52151F"/>
    <w:rsid w:val="0E7F334A"/>
    <w:rsid w:val="0E8110C4"/>
    <w:rsid w:val="0EAB303F"/>
    <w:rsid w:val="0F1D7D7F"/>
    <w:rsid w:val="0F2F3FB0"/>
    <w:rsid w:val="0F5A60C1"/>
    <w:rsid w:val="0F6E6B7C"/>
    <w:rsid w:val="0FC81CD8"/>
    <w:rsid w:val="0FD41FB9"/>
    <w:rsid w:val="0FE70717"/>
    <w:rsid w:val="103C27CE"/>
    <w:rsid w:val="1067708E"/>
    <w:rsid w:val="108758BF"/>
    <w:rsid w:val="11305CC6"/>
    <w:rsid w:val="113B1A46"/>
    <w:rsid w:val="119105B0"/>
    <w:rsid w:val="11991D14"/>
    <w:rsid w:val="11DA0DB6"/>
    <w:rsid w:val="11E93A1E"/>
    <w:rsid w:val="1200766C"/>
    <w:rsid w:val="12057B1E"/>
    <w:rsid w:val="12090201"/>
    <w:rsid w:val="126A7E5E"/>
    <w:rsid w:val="127479F2"/>
    <w:rsid w:val="127D7927"/>
    <w:rsid w:val="12B86C14"/>
    <w:rsid w:val="12D335EC"/>
    <w:rsid w:val="13505BA2"/>
    <w:rsid w:val="13525B1D"/>
    <w:rsid w:val="1356385F"/>
    <w:rsid w:val="13A445CA"/>
    <w:rsid w:val="13E62E35"/>
    <w:rsid w:val="14084E41"/>
    <w:rsid w:val="145770C0"/>
    <w:rsid w:val="146E4CB8"/>
    <w:rsid w:val="14B720DC"/>
    <w:rsid w:val="14BC5944"/>
    <w:rsid w:val="15092CAB"/>
    <w:rsid w:val="15434B22"/>
    <w:rsid w:val="157A2EC7"/>
    <w:rsid w:val="15AE5263"/>
    <w:rsid w:val="16161084"/>
    <w:rsid w:val="16290DB7"/>
    <w:rsid w:val="168801D3"/>
    <w:rsid w:val="169C7635"/>
    <w:rsid w:val="16E70B1E"/>
    <w:rsid w:val="174F2D26"/>
    <w:rsid w:val="17C7306C"/>
    <w:rsid w:val="17DC18A9"/>
    <w:rsid w:val="183B45D7"/>
    <w:rsid w:val="184F5194"/>
    <w:rsid w:val="1881312C"/>
    <w:rsid w:val="18826EA4"/>
    <w:rsid w:val="18DB45BF"/>
    <w:rsid w:val="198C1D89"/>
    <w:rsid w:val="1995418D"/>
    <w:rsid w:val="19A406B7"/>
    <w:rsid w:val="1A421A1A"/>
    <w:rsid w:val="1A564145"/>
    <w:rsid w:val="1A5B79AD"/>
    <w:rsid w:val="1A713F1E"/>
    <w:rsid w:val="1A7F2DB5"/>
    <w:rsid w:val="1B34092A"/>
    <w:rsid w:val="1B3E06A6"/>
    <w:rsid w:val="1B4346C9"/>
    <w:rsid w:val="1B8D0940"/>
    <w:rsid w:val="1BCD67AE"/>
    <w:rsid w:val="1BD2184D"/>
    <w:rsid w:val="1C3F171A"/>
    <w:rsid w:val="1C4F4762"/>
    <w:rsid w:val="1C8B3604"/>
    <w:rsid w:val="1CC406E9"/>
    <w:rsid w:val="1CEE3306"/>
    <w:rsid w:val="1D377F33"/>
    <w:rsid w:val="1DCE1031"/>
    <w:rsid w:val="1DE164F8"/>
    <w:rsid w:val="1DF74DA4"/>
    <w:rsid w:val="1E166EEC"/>
    <w:rsid w:val="1E1C3531"/>
    <w:rsid w:val="1E30469A"/>
    <w:rsid w:val="1EA307B4"/>
    <w:rsid w:val="1F711D67"/>
    <w:rsid w:val="1F712565"/>
    <w:rsid w:val="1F8654CC"/>
    <w:rsid w:val="1FB913FE"/>
    <w:rsid w:val="1FDC62F1"/>
    <w:rsid w:val="1FDE2C12"/>
    <w:rsid w:val="1FED72F9"/>
    <w:rsid w:val="1FFA3F1B"/>
    <w:rsid w:val="2005480B"/>
    <w:rsid w:val="209D2EF4"/>
    <w:rsid w:val="20C05D25"/>
    <w:rsid w:val="20C66F34"/>
    <w:rsid w:val="20D55DBE"/>
    <w:rsid w:val="20EA0AC8"/>
    <w:rsid w:val="211F7071"/>
    <w:rsid w:val="214132FB"/>
    <w:rsid w:val="214747E7"/>
    <w:rsid w:val="21676C37"/>
    <w:rsid w:val="21821B57"/>
    <w:rsid w:val="21C33634"/>
    <w:rsid w:val="21E74A43"/>
    <w:rsid w:val="21FF5741"/>
    <w:rsid w:val="2204406F"/>
    <w:rsid w:val="221217FD"/>
    <w:rsid w:val="224B2C26"/>
    <w:rsid w:val="226C301E"/>
    <w:rsid w:val="22CD19F3"/>
    <w:rsid w:val="22D45D1F"/>
    <w:rsid w:val="233730DE"/>
    <w:rsid w:val="239A78B3"/>
    <w:rsid w:val="23A5119B"/>
    <w:rsid w:val="24093ADF"/>
    <w:rsid w:val="24397395"/>
    <w:rsid w:val="24706E49"/>
    <w:rsid w:val="2524193A"/>
    <w:rsid w:val="25404365"/>
    <w:rsid w:val="25915694"/>
    <w:rsid w:val="25C714CA"/>
    <w:rsid w:val="25CC2C1A"/>
    <w:rsid w:val="25EC3C66"/>
    <w:rsid w:val="262D48F3"/>
    <w:rsid w:val="2676436D"/>
    <w:rsid w:val="270821DB"/>
    <w:rsid w:val="272A0B04"/>
    <w:rsid w:val="272A709A"/>
    <w:rsid w:val="27642267"/>
    <w:rsid w:val="27A40CBD"/>
    <w:rsid w:val="285B737A"/>
    <w:rsid w:val="28676A0C"/>
    <w:rsid w:val="288C6AFC"/>
    <w:rsid w:val="28952AF8"/>
    <w:rsid w:val="28ED3EC6"/>
    <w:rsid w:val="29212057"/>
    <w:rsid w:val="29336C7B"/>
    <w:rsid w:val="299A758C"/>
    <w:rsid w:val="2A24028C"/>
    <w:rsid w:val="2A732B0A"/>
    <w:rsid w:val="2A8D3BB3"/>
    <w:rsid w:val="2A9336A5"/>
    <w:rsid w:val="2AD102EC"/>
    <w:rsid w:val="2B115E88"/>
    <w:rsid w:val="2B3372F3"/>
    <w:rsid w:val="2B406E77"/>
    <w:rsid w:val="2B4F698B"/>
    <w:rsid w:val="2B722042"/>
    <w:rsid w:val="2BA45ABD"/>
    <w:rsid w:val="2BAE2033"/>
    <w:rsid w:val="2C0E2AD1"/>
    <w:rsid w:val="2C122BD6"/>
    <w:rsid w:val="2C255518"/>
    <w:rsid w:val="2C6276DE"/>
    <w:rsid w:val="2CCF379C"/>
    <w:rsid w:val="2D006114"/>
    <w:rsid w:val="2D190B34"/>
    <w:rsid w:val="2D3B1E3A"/>
    <w:rsid w:val="2DAC0A15"/>
    <w:rsid w:val="2DC762DD"/>
    <w:rsid w:val="2DDC1E3E"/>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864EB8"/>
    <w:rsid w:val="31F9354C"/>
    <w:rsid w:val="322771EC"/>
    <w:rsid w:val="322B2372"/>
    <w:rsid w:val="32611814"/>
    <w:rsid w:val="331B3FA1"/>
    <w:rsid w:val="33640261"/>
    <w:rsid w:val="336A0A99"/>
    <w:rsid w:val="33704217"/>
    <w:rsid w:val="33840509"/>
    <w:rsid w:val="33A70FCA"/>
    <w:rsid w:val="33B9703A"/>
    <w:rsid w:val="33BC1065"/>
    <w:rsid w:val="33CA5530"/>
    <w:rsid w:val="349618B6"/>
    <w:rsid w:val="34DB0A44"/>
    <w:rsid w:val="350F763A"/>
    <w:rsid w:val="3518051D"/>
    <w:rsid w:val="352D221A"/>
    <w:rsid w:val="354C6BFF"/>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7F2B6A"/>
    <w:rsid w:val="398420CC"/>
    <w:rsid w:val="399B34CA"/>
    <w:rsid w:val="39BD1208"/>
    <w:rsid w:val="39D04655"/>
    <w:rsid w:val="39DA2245"/>
    <w:rsid w:val="3A093C5F"/>
    <w:rsid w:val="3A265204"/>
    <w:rsid w:val="3A9C399E"/>
    <w:rsid w:val="3B3A01A9"/>
    <w:rsid w:val="3B3E34F2"/>
    <w:rsid w:val="3B7A19EB"/>
    <w:rsid w:val="3B950B19"/>
    <w:rsid w:val="3B9C2BBA"/>
    <w:rsid w:val="3BAC1B96"/>
    <w:rsid w:val="3BDB4052"/>
    <w:rsid w:val="3BF76089"/>
    <w:rsid w:val="3C0A6C8B"/>
    <w:rsid w:val="3C0D6901"/>
    <w:rsid w:val="3C4A3C73"/>
    <w:rsid w:val="3C7805A2"/>
    <w:rsid w:val="3C901337"/>
    <w:rsid w:val="3CA34DAB"/>
    <w:rsid w:val="3D0135CD"/>
    <w:rsid w:val="3D4A7F7F"/>
    <w:rsid w:val="3D855688"/>
    <w:rsid w:val="3DAF0BA9"/>
    <w:rsid w:val="3E2A72D5"/>
    <w:rsid w:val="3E5227DD"/>
    <w:rsid w:val="3E6F10A1"/>
    <w:rsid w:val="3E752133"/>
    <w:rsid w:val="3E7C7D6E"/>
    <w:rsid w:val="3E842866"/>
    <w:rsid w:val="3ECD1116"/>
    <w:rsid w:val="3F122481"/>
    <w:rsid w:val="3F461991"/>
    <w:rsid w:val="3F95157A"/>
    <w:rsid w:val="3FA82747"/>
    <w:rsid w:val="3FD747F6"/>
    <w:rsid w:val="3FE5309D"/>
    <w:rsid w:val="40055B41"/>
    <w:rsid w:val="40273980"/>
    <w:rsid w:val="4057639D"/>
    <w:rsid w:val="408F2757"/>
    <w:rsid w:val="40AA7E7D"/>
    <w:rsid w:val="4105229D"/>
    <w:rsid w:val="41113A47"/>
    <w:rsid w:val="4187356A"/>
    <w:rsid w:val="41987213"/>
    <w:rsid w:val="41A43864"/>
    <w:rsid w:val="41CA2B9F"/>
    <w:rsid w:val="41CF1EF3"/>
    <w:rsid w:val="42033039"/>
    <w:rsid w:val="42634881"/>
    <w:rsid w:val="4271078E"/>
    <w:rsid w:val="428B0580"/>
    <w:rsid w:val="428D5E99"/>
    <w:rsid w:val="42A20E75"/>
    <w:rsid w:val="431762B8"/>
    <w:rsid w:val="4337726F"/>
    <w:rsid w:val="439E4C80"/>
    <w:rsid w:val="44A90216"/>
    <w:rsid w:val="44E7657C"/>
    <w:rsid w:val="451A208F"/>
    <w:rsid w:val="459A2FF4"/>
    <w:rsid w:val="45B61DB8"/>
    <w:rsid w:val="45E5269D"/>
    <w:rsid w:val="46166482"/>
    <w:rsid w:val="462B0B0E"/>
    <w:rsid w:val="46EA0A31"/>
    <w:rsid w:val="47392418"/>
    <w:rsid w:val="47CB29C6"/>
    <w:rsid w:val="47D7191E"/>
    <w:rsid w:val="47F70466"/>
    <w:rsid w:val="47FF4B8B"/>
    <w:rsid w:val="48546800"/>
    <w:rsid w:val="48850CAF"/>
    <w:rsid w:val="48990419"/>
    <w:rsid w:val="489D725F"/>
    <w:rsid w:val="48A8056F"/>
    <w:rsid w:val="48BF3C63"/>
    <w:rsid w:val="48CF6AAB"/>
    <w:rsid w:val="48D507A7"/>
    <w:rsid w:val="48E47761"/>
    <w:rsid w:val="48F91BA7"/>
    <w:rsid w:val="49160B9F"/>
    <w:rsid w:val="49494C42"/>
    <w:rsid w:val="49C820BA"/>
    <w:rsid w:val="4A0211CA"/>
    <w:rsid w:val="4A370FED"/>
    <w:rsid w:val="4A4E7C41"/>
    <w:rsid w:val="4A83667D"/>
    <w:rsid w:val="4A9542B5"/>
    <w:rsid w:val="4AA246B9"/>
    <w:rsid w:val="4ACB4AB7"/>
    <w:rsid w:val="4B4275A6"/>
    <w:rsid w:val="4B5A5A42"/>
    <w:rsid w:val="4B821E69"/>
    <w:rsid w:val="4B920BD1"/>
    <w:rsid w:val="4BA12C55"/>
    <w:rsid w:val="4BE807F1"/>
    <w:rsid w:val="4C054E59"/>
    <w:rsid w:val="4C194E4E"/>
    <w:rsid w:val="4C602A7D"/>
    <w:rsid w:val="4CB1440A"/>
    <w:rsid w:val="4D0553D3"/>
    <w:rsid w:val="4D0F7F80"/>
    <w:rsid w:val="4D106251"/>
    <w:rsid w:val="4D1D0D0C"/>
    <w:rsid w:val="4D445EFB"/>
    <w:rsid w:val="4D566987"/>
    <w:rsid w:val="4D5F4AE3"/>
    <w:rsid w:val="4D6A22C1"/>
    <w:rsid w:val="4DEE11F9"/>
    <w:rsid w:val="4E141C35"/>
    <w:rsid w:val="4E89522A"/>
    <w:rsid w:val="4ED743E9"/>
    <w:rsid w:val="4EE46BD3"/>
    <w:rsid w:val="4EF17752"/>
    <w:rsid w:val="4F1218DB"/>
    <w:rsid w:val="4F1A49F9"/>
    <w:rsid w:val="500A342C"/>
    <w:rsid w:val="502C7822"/>
    <w:rsid w:val="503E7C0A"/>
    <w:rsid w:val="50A76ECD"/>
    <w:rsid w:val="50B17B40"/>
    <w:rsid w:val="50D61983"/>
    <w:rsid w:val="50DE1A1F"/>
    <w:rsid w:val="50EC6BCE"/>
    <w:rsid w:val="50FB7991"/>
    <w:rsid w:val="517A7D5A"/>
    <w:rsid w:val="51C27D36"/>
    <w:rsid w:val="51D05FAF"/>
    <w:rsid w:val="526077B2"/>
    <w:rsid w:val="527C1C93"/>
    <w:rsid w:val="528648C0"/>
    <w:rsid w:val="52AA6800"/>
    <w:rsid w:val="52C579E6"/>
    <w:rsid w:val="53122466"/>
    <w:rsid w:val="53274973"/>
    <w:rsid w:val="532C2F73"/>
    <w:rsid w:val="5361486D"/>
    <w:rsid w:val="546A7B33"/>
    <w:rsid w:val="548D7795"/>
    <w:rsid w:val="54A4349C"/>
    <w:rsid w:val="54AD674E"/>
    <w:rsid w:val="55235B4A"/>
    <w:rsid w:val="55EB5A15"/>
    <w:rsid w:val="561E2809"/>
    <w:rsid w:val="56246DDC"/>
    <w:rsid w:val="562C39D0"/>
    <w:rsid w:val="56554CD5"/>
    <w:rsid w:val="56AF5F68"/>
    <w:rsid w:val="56E04EE6"/>
    <w:rsid w:val="572F521C"/>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751DEA"/>
    <w:rsid w:val="5A755946"/>
    <w:rsid w:val="5A781C19"/>
    <w:rsid w:val="5AB20948"/>
    <w:rsid w:val="5ABF18BC"/>
    <w:rsid w:val="5B2C6D7D"/>
    <w:rsid w:val="5B432946"/>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5B12F6"/>
    <w:rsid w:val="5E8B1BDC"/>
    <w:rsid w:val="5EF157B7"/>
    <w:rsid w:val="5F08713C"/>
    <w:rsid w:val="5F2A7F10"/>
    <w:rsid w:val="5F3542BE"/>
    <w:rsid w:val="5F4B0103"/>
    <w:rsid w:val="5F624162"/>
    <w:rsid w:val="5F852791"/>
    <w:rsid w:val="5F95098D"/>
    <w:rsid w:val="5FB52C88"/>
    <w:rsid w:val="5FF675B3"/>
    <w:rsid w:val="6017749F"/>
    <w:rsid w:val="60455DBA"/>
    <w:rsid w:val="60706363"/>
    <w:rsid w:val="608605A7"/>
    <w:rsid w:val="60996106"/>
    <w:rsid w:val="60D633F8"/>
    <w:rsid w:val="60DE071F"/>
    <w:rsid w:val="60FC2464"/>
    <w:rsid w:val="611B7B30"/>
    <w:rsid w:val="613B34FF"/>
    <w:rsid w:val="617C1B4F"/>
    <w:rsid w:val="61B058F0"/>
    <w:rsid w:val="61DE76C6"/>
    <w:rsid w:val="61FC2F02"/>
    <w:rsid w:val="620677CB"/>
    <w:rsid w:val="6210452D"/>
    <w:rsid w:val="624B4FC5"/>
    <w:rsid w:val="626F5370"/>
    <w:rsid w:val="627263AA"/>
    <w:rsid w:val="62817246"/>
    <w:rsid w:val="62834146"/>
    <w:rsid w:val="62A50D92"/>
    <w:rsid w:val="62C8512F"/>
    <w:rsid w:val="62F34AE7"/>
    <w:rsid w:val="632048BD"/>
    <w:rsid w:val="63330F05"/>
    <w:rsid w:val="636B52B1"/>
    <w:rsid w:val="638070CA"/>
    <w:rsid w:val="63BD46B1"/>
    <w:rsid w:val="63DE2CBF"/>
    <w:rsid w:val="646830AE"/>
    <w:rsid w:val="64746686"/>
    <w:rsid w:val="64A7238C"/>
    <w:rsid w:val="64C03C61"/>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5538"/>
    <w:rsid w:val="66D512E8"/>
    <w:rsid w:val="66D74C9D"/>
    <w:rsid w:val="66E005EB"/>
    <w:rsid w:val="67923582"/>
    <w:rsid w:val="67AA404F"/>
    <w:rsid w:val="67B416BE"/>
    <w:rsid w:val="67D0065F"/>
    <w:rsid w:val="680C2B43"/>
    <w:rsid w:val="683A3D2B"/>
    <w:rsid w:val="685E462A"/>
    <w:rsid w:val="6861348D"/>
    <w:rsid w:val="68745B85"/>
    <w:rsid w:val="688B4BC9"/>
    <w:rsid w:val="68C47A98"/>
    <w:rsid w:val="68F172A5"/>
    <w:rsid w:val="69116A62"/>
    <w:rsid w:val="69131EC9"/>
    <w:rsid w:val="691D0850"/>
    <w:rsid w:val="692E706E"/>
    <w:rsid w:val="69D73990"/>
    <w:rsid w:val="69E42310"/>
    <w:rsid w:val="69FD3262"/>
    <w:rsid w:val="6A3A1973"/>
    <w:rsid w:val="6AD33E5A"/>
    <w:rsid w:val="6B013226"/>
    <w:rsid w:val="6B4355EC"/>
    <w:rsid w:val="6B461A7A"/>
    <w:rsid w:val="6B7144A1"/>
    <w:rsid w:val="6B861AF8"/>
    <w:rsid w:val="6B9D23AD"/>
    <w:rsid w:val="6C0369AE"/>
    <w:rsid w:val="6C04494D"/>
    <w:rsid w:val="6C136D9D"/>
    <w:rsid w:val="6C392D20"/>
    <w:rsid w:val="6C432361"/>
    <w:rsid w:val="6C577F03"/>
    <w:rsid w:val="6C97174C"/>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044F26"/>
    <w:rsid w:val="70785D38"/>
    <w:rsid w:val="70EA7820"/>
    <w:rsid w:val="70F941F5"/>
    <w:rsid w:val="711A7F1E"/>
    <w:rsid w:val="7130142C"/>
    <w:rsid w:val="71461053"/>
    <w:rsid w:val="71846F47"/>
    <w:rsid w:val="71CE7226"/>
    <w:rsid w:val="71E573FD"/>
    <w:rsid w:val="71EA0570"/>
    <w:rsid w:val="71EF237B"/>
    <w:rsid w:val="71F00731"/>
    <w:rsid w:val="72026C75"/>
    <w:rsid w:val="72324A62"/>
    <w:rsid w:val="726A706D"/>
    <w:rsid w:val="72B52FA4"/>
    <w:rsid w:val="72BB3CBA"/>
    <w:rsid w:val="72D70B58"/>
    <w:rsid w:val="72E42010"/>
    <w:rsid w:val="72F21DD2"/>
    <w:rsid w:val="73046F04"/>
    <w:rsid w:val="732B016A"/>
    <w:rsid w:val="73830C7C"/>
    <w:rsid w:val="740F48EB"/>
    <w:rsid w:val="745169B7"/>
    <w:rsid w:val="750B58E9"/>
    <w:rsid w:val="751F2CDF"/>
    <w:rsid w:val="75222F36"/>
    <w:rsid w:val="753D2D90"/>
    <w:rsid w:val="754015A5"/>
    <w:rsid w:val="7577036C"/>
    <w:rsid w:val="75956A44"/>
    <w:rsid w:val="759F72BA"/>
    <w:rsid w:val="75AA3A97"/>
    <w:rsid w:val="75E90DCA"/>
    <w:rsid w:val="75F80BED"/>
    <w:rsid w:val="762B2E39"/>
    <w:rsid w:val="762D259F"/>
    <w:rsid w:val="7636075E"/>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9B4B19"/>
    <w:rsid w:val="78B25E54"/>
    <w:rsid w:val="78BD425F"/>
    <w:rsid w:val="78F0566F"/>
    <w:rsid w:val="78FB3685"/>
    <w:rsid w:val="793024BA"/>
    <w:rsid w:val="795840F7"/>
    <w:rsid w:val="797C0647"/>
    <w:rsid w:val="79DF6AD7"/>
    <w:rsid w:val="79F3285F"/>
    <w:rsid w:val="7A9320A1"/>
    <w:rsid w:val="7AB041E9"/>
    <w:rsid w:val="7B026A80"/>
    <w:rsid w:val="7B3F6659"/>
    <w:rsid w:val="7B6D3318"/>
    <w:rsid w:val="7BA51BB2"/>
    <w:rsid w:val="7BAE6AB2"/>
    <w:rsid w:val="7C2D787C"/>
    <w:rsid w:val="7C3D3FB0"/>
    <w:rsid w:val="7C4D6B98"/>
    <w:rsid w:val="7C4E6030"/>
    <w:rsid w:val="7CE33C0D"/>
    <w:rsid w:val="7CEF468D"/>
    <w:rsid w:val="7D02665D"/>
    <w:rsid w:val="7D0647AE"/>
    <w:rsid w:val="7D4F7E21"/>
    <w:rsid w:val="7D62753D"/>
    <w:rsid w:val="7D7F360E"/>
    <w:rsid w:val="7D9A72EE"/>
    <w:rsid w:val="7DA138D1"/>
    <w:rsid w:val="7DB650B7"/>
    <w:rsid w:val="7DD16A88"/>
    <w:rsid w:val="7DE20C95"/>
    <w:rsid w:val="7E152E18"/>
    <w:rsid w:val="7E5D1D7F"/>
    <w:rsid w:val="7EA13CB3"/>
    <w:rsid w:val="7F067B9D"/>
    <w:rsid w:val="7F2F3A66"/>
    <w:rsid w:val="7F645069"/>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qFormat/>
    <w:uiPriority w:val="0"/>
    <w:pPr>
      <w:spacing w:after="120"/>
    </w:pPr>
    <w:rPr>
      <w:rFonts w:ascii="Calibri" w:hAnsi="Calibri" w:eastAsia="宋体"/>
      <w:sz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unhideWhenUsed/>
    <w:qFormat/>
    <w:uiPriority w:val="99"/>
    <w:pPr>
      <w:ind w:left="200" w:leftChars="200" w:hanging="200" w:hangingChars="200"/>
    </w:pPr>
  </w:style>
  <w:style w:type="paragraph" w:styleId="10">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11">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7">
    <w:name w:val="Table Paragraph"/>
    <w:basedOn w:val="1"/>
    <w:autoRedefine/>
    <w:qFormat/>
    <w:uiPriority w:val="1"/>
    <w:rPr>
      <w:rFonts w:ascii="仿宋_GB2312" w:hAnsi="仿宋_GB2312" w:eastAsia="仿宋_GB2312" w:cs="仿宋_GB2312"/>
      <w:lang w:val="zh-CN" w:eastAsia="zh-CN" w:bidi="zh-CN"/>
    </w:rPr>
  </w:style>
  <w:style w:type="paragraph" w:styleId="18">
    <w:name w:val="List Paragraph"/>
    <w:basedOn w:val="1"/>
    <w:autoRedefine/>
    <w:qFormat/>
    <w:uiPriority w:val="34"/>
    <w:pPr>
      <w:ind w:firstLine="420" w:firstLineChars="200"/>
    </w:pPr>
    <w:rPr>
      <w:rFonts w:ascii="Calibri" w:hAnsi="Calibri"/>
    </w:rPr>
  </w:style>
  <w:style w:type="character" w:customStyle="1" w:styleId="19">
    <w:name w:val="font31"/>
    <w:basedOn w:val="15"/>
    <w:autoRedefine/>
    <w:qFormat/>
    <w:uiPriority w:val="0"/>
    <w:rPr>
      <w:rFonts w:hint="eastAsia" w:ascii="宋体" w:hAnsi="宋体" w:eastAsia="宋体" w:cs="宋体"/>
      <w:color w:val="FF0000"/>
      <w:sz w:val="24"/>
      <w:szCs w:val="24"/>
      <w:u w:val="none"/>
    </w:rPr>
  </w:style>
  <w:style w:type="character" w:customStyle="1" w:styleId="20">
    <w:name w:val="font21"/>
    <w:basedOn w:val="15"/>
    <w:autoRedefine/>
    <w:qFormat/>
    <w:uiPriority w:val="0"/>
    <w:rPr>
      <w:rFonts w:hint="eastAsia" w:ascii="宋体" w:hAnsi="宋体" w:eastAsia="宋体" w:cs="宋体"/>
      <w:color w:val="FF0000"/>
      <w:sz w:val="36"/>
      <w:szCs w:val="36"/>
      <w:u w:val="none"/>
    </w:rPr>
  </w:style>
  <w:style w:type="character" w:customStyle="1" w:styleId="21">
    <w:name w:val="font11"/>
    <w:basedOn w:val="15"/>
    <w:autoRedefine/>
    <w:qFormat/>
    <w:uiPriority w:val="0"/>
    <w:rPr>
      <w:rFonts w:hint="eastAsia" w:ascii="宋体" w:hAnsi="宋体" w:eastAsia="宋体" w:cs="宋体"/>
      <w:color w:val="000000"/>
      <w:sz w:val="36"/>
      <w:szCs w:val="36"/>
      <w:u w:val="none"/>
    </w:rPr>
  </w:style>
  <w:style w:type="character" w:customStyle="1" w:styleId="22">
    <w:name w:val="font41"/>
    <w:basedOn w:val="15"/>
    <w:autoRedefine/>
    <w:qFormat/>
    <w:uiPriority w:val="0"/>
    <w:rPr>
      <w:rFonts w:hint="eastAsia" w:ascii="宋体" w:hAnsi="宋体" w:eastAsia="宋体" w:cs="宋体"/>
      <w:color w:val="FF0000"/>
      <w:sz w:val="36"/>
      <w:szCs w:val="36"/>
      <w:u w:val="none"/>
    </w:rPr>
  </w:style>
  <w:style w:type="table" w:customStyle="1" w:styleId="23">
    <w:name w:val="网格型1"/>
    <w:basedOn w:val="24"/>
    <w:qFormat/>
    <w:uiPriority w:val="0"/>
  </w:style>
  <w:style w:type="table" w:customStyle="1" w:styleId="24">
    <w:name w:val="普通表格1"/>
    <w:semiHidden/>
    <w:qFormat/>
    <w:uiPriority w:val="0"/>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NormalCharacter"/>
    <w:qFormat/>
    <w:uiPriority w:val="0"/>
    <w:rPr>
      <w:rFonts w:ascii="Times New Roman" w:hAnsi="Times New Roman" w:eastAsia="宋体" w:cs="Times New Roman"/>
    </w:rPr>
  </w:style>
  <w:style w:type="paragraph" w:customStyle="1" w:styleId="28">
    <w:name w:val="Normal (Web)"/>
    <w:basedOn w:val="1"/>
    <w:qFormat/>
    <w:uiPriority w:val="0"/>
    <w:pPr>
      <w:widowControl/>
      <w:spacing w:before="280" w:after="280"/>
      <w:jc w:val="left"/>
    </w:pPr>
    <w:rPr>
      <w:rFonts w:ascii="宋体" w:hAnsi="宋体" w:eastAsia="Times New Roman" w:cs="宋体"/>
      <w:kern w:val="0"/>
      <w:sz w:val="24"/>
    </w:rPr>
  </w:style>
  <w:style w:type="character" w:customStyle="1" w:styleId="29">
    <w:name w:val="font61"/>
    <w:basedOn w:val="15"/>
    <w:qFormat/>
    <w:uiPriority w:val="0"/>
    <w:rPr>
      <w:rFonts w:ascii="Calibri" w:hAnsi="Calibri" w:cs="Calibri"/>
      <w:color w:val="000000"/>
      <w:sz w:val="32"/>
      <w:szCs w:val="32"/>
      <w:u w:val="none"/>
    </w:rPr>
  </w:style>
  <w:style w:type="character" w:customStyle="1" w:styleId="30">
    <w:name w:val="font71"/>
    <w:basedOn w:val="1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5684</Words>
  <Characters>6617</Characters>
  <Lines>0</Lines>
  <Paragraphs>0</Paragraphs>
  <TotalTime>122</TotalTime>
  <ScaleCrop>false</ScaleCrop>
  <LinksUpToDate>false</LinksUpToDate>
  <CharactersWithSpaces>6835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2025-08-28T01:56:34Z</cp:lastPrinted>
  <dcterms:modified xsi:type="dcterms:W3CDTF">2025-08-28T01:57:53Z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7425A1D644324A409B159A1E24360F02_13</vt:lpwstr>
  </property>
  <property fmtid="{D5CDD505-2E9C-101B-9397-08002B2CF9AE}" pid="4" name="KSOTemplateDocerSaveRecord">
    <vt:lpwstr>eyJoZGlkIjoiMzFkNmY1OGU2MzU1MmVhNDI4NWUxY2ZhMGJhNmZjYTQifQ==</vt:lpwstr>
  </property>
</Properties>
</file>