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我院拟对脱细胞基质周围神经修复膜等耗材进行市场调研，详见附表一，请有意向供应商提供以下资料：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截止时间：2026年5月21日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 xml:space="preserve">     2026年5月19日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6D3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186" w:type="dxa"/>
            <w:vAlign w:val="center"/>
          </w:tcPr>
          <w:p w14:paraId="226429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A1CA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FA8F83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074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50F277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BCB57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脱细胞基质周围神经修复膜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BA3FD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1、用于用于无实质性缺损或经吻合的周围神经损伤的修复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7C0F0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2、脱细胞神经基质材料，可有效保留神经细胞外基质微营养成分，形成神经再生微环境可有效促进神经再生；</w:t>
            </w:r>
          </w:p>
          <w:p w14:paraId="4418C5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 具有良好的力学性能，可任意卷曲，满足不同尺寸损伤神经的需要；</w:t>
            </w:r>
          </w:p>
          <w:p w14:paraId="109E2E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4、植入体内后3个月内可完全降解，降解产物为氨基酸和水。</w:t>
            </w:r>
          </w:p>
        </w:tc>
      </w:tr>
      <w:tr w14:paraId="24EC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186" w:type="dxa"/>
            <w:shd w:val="clear" w:color="auto" w:fill="auto"/>
            <w:vAlign w:val="center"/>
          </w:tcPr>
          <w:p w14:paraId="59D2A9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FC8043">
            <w:pPr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去细胞同种异体神经修复材料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919EF1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/>
              </w:rPr>
              <w:t>用于修复各种原因所致的1-5cm外伤性感觉神经缺损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557C82F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2、尺寸：1.5mm±0.5mm×20mm±1.0mm，</w:t>
            </w:r>
          </w:p>
          <w:p w14:paraId="6A7A7070">
            <w:pPr>
              <w:ind w:firstLine="630" w:firstLineChars="3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5.0mm±1mm×60mm±1.0mm；</w:t>
            </w:r>
          </w:p>
          <w:p w14:paraId="2B985A3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3、力学性能：断裂力5N，断裂伸长率10%，缝合力5N；</w:t>
            </w:r>
          </w:p>
          <w:p w14:paraId="7E868A4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4、无菌；</w:t>
            </w:r>
          </w:p>
          <w:p w14:paraId="6CC03E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5、总蛋白含量5%-15%</w:t>
            </w:r>
          </w:p>
        </w:tc>
      </w:tr>
    </w:tbl>
    <w:p w14:paraId="2A228A6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0377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69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4AAC26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6F0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F6FBA7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3C7389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7AA69F3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305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08804BC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ED4D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革兰氏阴性菌脂多糖（LPS）检测试剂盒（光度法）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8B338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1、用于体外定量检测革兰氏阴性菌脂多糖含量，辅助革兰氏阴性菌感染的诊断；</w:t>
            </w:r>
          </w:p>
          <w:p w14:paraId="37007F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61D0D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设备名称：动态试管检测仪</w:t>
            </w:r>
          </w:p>
          <w:p w14:paraId="07885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生产厂家：湛江安度斯</w:t>
            </w:r>
          </w:p>
          <w:p w14:paraId="431BDC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型号：LKM-02-32</w:t>
            </w:r>
          </w:p>
          <w:p w14:paraId="7DD976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3、检出限不高于0.02EU/ml</w:t>
            </w:r>
          </w:p>
          <w:p w14:paraId="1470A8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4、批内CV&lt;10%</w:t>
            </w:r>
          </w:p>
          <w:p w14:paraId="41658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5、有配套质控品</w:t>
            </w:r>
          </w:p>
        </w:tc>
      </w:tr>
      <w:tr w14:paraId="2775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7E13C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476BD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超乳液流套件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D82D7B2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用于眼科超声乳化手术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时的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注液体通道；</w:t>
            </w:r>
          </w:p>
          <w:p w14:paraId="41B492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C26A7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设备名称：眼科手术设备</w:t>
            </w:r>
          </w:p>
          <w:p w14:paraId="7B26D8E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生产厂家：博士伦</w:t>
            </w:r>
          </w:p>
          <w:p w14:paraId="1B44903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型号：stellaris-PC</w:t>
            </w:r>
          </w:p>
          <w:p w14:paraId="2C27013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管长2000mm～2500mm；</w:t>
            </w:r>
          </w:p>
          <w:p w14:paraId="43BB34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4、由积液盒、输注管、排液管、超乳注吸管、气液交换管等组成；</w:t>
            </w:r>
          </w:p>
          <w:p w14:paraId="35D534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5、积液盒壳体在装满水时，壳体应无液体渗漏现象；在80KPa的压力条件下，各组件之间连接处应无泄露现象。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363</Words>
  <Characters>392</Characters>
  <Lines>0</Lines>
  <Paragraphs>0</Paragraphs>
  <TotalTime>26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2026-05-19T08:37:13Z</cp:lastPrinted>
  <dcterms:modified xsi:type="dcterms:W3CDTF">2026-05-19T08:44:16Z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